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6DC807">
      <w:pPr>
        <w:snapToGrid w:val="0"/>
        <w:spacing w:line="440" w:lineRule="exact"/>
        <w:jc w:val="center"/>
        <w:rPr>
          <w:rFonts w:ascii="Times New Roman" w:hAnsi="Times New Roman" w:eastAsia="方正小标宋简体"/>
          <w:color w:val="000000"/>
          <w:sz w:val="32"/>
          <w:szCs w:val="32"/>
        </w:rPr>
      </w:pPr>
      <w:r>
        <w:rPr>
          <w:rFonts w:ascii="Times New Roman" w:hAnsi="Times New Roman" w:eastAsia="方正小标宋简体"/>
          <w:color w:val="000000"/>
          <w:sz w:val="32"/>
          <w:szCs w:val="32"/>
        </w:rPr>
        <w:t>202</w:t>
      </w:r>
      <w:r>
        <w:rPr>
          <w:rFonts w:hint="eastAsia" w:ascii="Times New Roman" w:hAnsi="Times New Roman" w:eastAsia="方正小标宋简体"/>
          <w:color w:val="000000"/>
          <w:sz w:val="32"/>
          <w:szCs w:val="32"/>
        </w:rPr>
        <w:t>6</w:t>
      </w:r>
      <w:r>
        <w:rPr>
          <w:rFonts w:ascii="Times New Roman" w:hAnsi="Times New Roman" w:eastAsia="方正小标宋简体"/>
          <w:color w:val="000000"/>
          <w:sz w:val="32"/>
          <w:szCs w:val="32"/>
        </w:rPr>
        <w:t>年北京市</w:t>
      </w:r>
      <w:r>
        <w:rPr>
          <w:rFonts w:hint="eastAsia" w:ascii="Times New Roman" w:hAnsi="Times New Roman" w:eastAsia="方正小标宋简体"/>
          <w:color w:val="000000"/>
          <w:sz w:val="32"/>
          <w:szCs w:val="32"/>
          <w:lang w:val="en-US" w:eastAsia="zh-CN"/>
        </w:rPr>
        <w:t>普通</w:t>
      </w:r>
      <w:r>
        <w:rPr>
          <w:rFonts w:hint="eastAsia" w:ascii="Times New Roman" w:hAnsi="Times New Roman" w:eastAsia="方正小标宋简体"/>
          <w:color w:val="000000"/>
          <w:sz w:val="32"/>
          <w:szCs w:val="32"/>
        </w:rPr>
        <w:t>湿巾</w:t>
      </w:r>
      <w:r>
        <w:rPr>
          <w:rFonts w:ascii="Times New Roman" w:hAnsi="Times New Roman" w:eastAsia="方正小标宋简体"/>
          <w:color w:val="000000"/>
          <w:sz w:val="32"/>
          <w:szCs w:val="32"/>
        </w:rPr>
        <w:t>产品质量监督抽查实施细则</w:t>
      </w:r>
    </w:p>
    <w:p w14:paraId="119FA5FD">
      <w:pPr>
        <w:snapToGrid w:val="0"/>
        <w:spacing w:line="440" w:lineRule="exact"/>
        <w:rPr>
          <w:rFonts w:ascii="Times New Roman" w:hAnsi="Times New Roman" w:eastAsia="黑体"/>
          <w:color w:val="000000"/>
          <w:szCs w:val="21"/>
        </w:rPr>
      </w:pPr>
    </w:p>
    <w:p w14:paraId="34AF8E89">
      <w:pPr>
        <w:snapToGrid w:val="0"/>
        <w:spacing w:line="440" w:lineRule="exact"/>
        <w:rPr>
          <w:rFonts w:ascii="Times New Roman" w:hAnsi="Times New Roman" w:eastAsia="黑体"/>
          <w:color w:val="000000"/>
          <w:szCs w:val="21"/>
        </w:rPr>
      </w:pPr>
      <w:r>
        <w:rPr>
          <w:rFonts w:ascii="Times New Roman" w:hAnsi="Times New Roman" w:eastAsia="黑体"/>
          <w:color w:val="000000"/>
          <w:szCs w:val="21"/>
        </w:rPr>
        <w:t>1 抽样方法</w:t>
      </w:r>
    </w:p>
    <w:p w14:paraId="4DFBFD61">
      <w:pPr>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以随机抽样的方式在被抽样生产者、销售者的待销产品中抽取。</w:t>
      </w:r>
    </w:p>
    <w:p w14:paraId="57344362">
      <w:pPr>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随机数一般可使用随机数表等方法产生。</w:t>
      </w:r>
      <w:bookmarkStart w:id="0" w:name="_GoBack"/>
      <w:bookmarkEnd w:id="0"/>
    </w:p>
    <w:p w14:paraId="060325AB">
      <w:pPr>
        <w:adjustRightInd w:val="0"/>
        <w:snapToGrid w:val="0"/>
        <w:spacing w:line="440" w:lineRule="exact"/>
        <w:ind w:firstLine="420" w:firstLineChars="200"/>
      </w:pPr>
      <w:r>
        <w:rPr>
          <w:rFonts w:ascii="Times New Roman" w:hAnsi="宋体"/>
          <w:color w:val="000000"/>
        </w:rPr>
        <w:t>抽样基数满足抽样数量即可，</w:t>
      </w:r>
      <w:r>
        <w:rPr>
          <w:rFonts w:ascii="Times New Roman" w:hAnsi="Times New Roman"/>
          <w:color w:val="000000"/>
        </w:rPr>
        <w:t>若最小销售包装数量大于等于</w:t>
      </w:r>
      <w:r>
        <w:rPr>
          <w:rFonts w:hint="eastAsia" w:ascii="Times New Roman" w:hAnsi="Times New Roman"/>
          <w:color w:val="000000"/>
        </w:rPr>
        <w:t>1</w:t>
      </w:r>
      <w:r>
        <w:rPr>
          <w:rFonts w:ascii="Times New Roman" w:hAnsi="Times New Roman"/>
          <w:color w:val="000000"/>
        </w:rPr>
        <w:t>0片/包，则抽取样品</w:t>
      </w:r>
      <w:r>
        <w:rPr>
          <w:rFonts w:hint="eastAsia" w:ascii="Times New Roman" w:hAnsi="Times New Roman"/>
          <w:color w:val="000000"/>
        </w:rPr>
        <w:t>15</w:t>
      </w:r>
      <w:r>
        <w:rPr>
          <w:rFonts w:ascii="Times New Roman" w:hAnsi="Times New Roman"/>
          <w:color w:val="000000"/>
        </w:rPr>
        <w:t>包，其中</w:t>
      </w:r>
      <w:r>
        <w:rPr>
          <w:rFonts w:hint="eastAsia" w:ascii="Times New Roman" w:hAnsi="Times New Roman"/>
          <w:color w:val="000000"/>
        </w:rPr>
        <w:t>12</w:t>
      </w:r>
      <w:r>
        <w:rPr>
          <w:rFonts w:ascii="Times New Roman" w:hAnsi="Times New Roman"/>
          <w:color w:val="000000"/>
        </w:rPr>
        <w:t>包作为检验用样品，另</w:t>
      </w:r>
      <w:r>
        <w:rPr>
          <w:rFonts w:hint="eastAsia" w:ascii="Times New Roman" w:hAnsi="Times New Roman"/>
          <w:color w:val="000000"/>
        </w:rPr>
        <w:t>3</w:t>
      </w:r>
      <w:r>
        <w:rPr>
          <w:rFonts w:ascii="Times New Roman" w:hAnsi="Times New Roman"/>
          <w:color w:val="000000"/>
        </w:rPr>
        <w:t>包作为备用样品。若</w:t>
      </w:r>
      <w:r>
        <w:rPr>
          <w:rFonts w:ascii="Times New Roman" w:hAnsi="Times New Roman"/>
        </w:rPr>
        <w:t>最小销售包装</w:t>
      </w:r>
      <w:r>
        <w:rPr>
          <w:rFonts w:hint="eastAsia" w:ascii="Times New Roman" w:hAnsi="Times New Roman"/>
        </w:rPr>
        <w:t>数量</w:t>
      </w:r>
      <w:r>
        <w:rPr>
          <w:rFonts w:ascii="Times New Roman" w:hAnsi="Times New Roman"/>
        </w:rPr>
        <w:t>小于</w:t>
      </w:r>
      <w:r>
        <w:rPr>
          <w:rFonts w:hint="eastAsia" w:ascii="Times New Roman" w:hAnsi="Times New Roman"/>
          <w:color w:val="000000"/>
        </w:rPr>
        <w:t>1</w:t>
      </w:r>
      <w:r>
        <w:rPr>
          <w:rFonts w:ascii="Times New Roman" w:hAnsi="Times New Roman"/>
          <w:color w:val="000000"/>
        </w:rPr>
        <w:t>0片/包，</w:t>
      </w:r>
      <w:r>
        <w:rPr>
          <w:rFonts w:ascii="Times New Roman" w:hAnsi="Times New Roman"/>
        </w:rPr>
        <w:t>应根据最小销售包装的片数规格适当增加抽样数量，但不得超过检验、复检的合理需要。</w:t>
      </w:r>
    </w:p>
    <w:p w14:paraId="19131143">
      <w:pPr>
        <w:snapToGrid w:val="0"/>
        <w:spacing w:line="440" w:lineRule="exact"/>
        <w:rPr>
          <w:rFonts w:ascii="Times New Roman" w:hAnsi="Times New Roman" w:eastAsia="黑体"/>
          <w:color w:val="000000"/>
          <w:szCs w:val="21"/>
        </w:rPr>
      </w:pPr>
    </w:p>
    <w:p w14:paraId="0B8A0079">
      <w:pPr>
        <w:snapToGrid w:val="0"/>
        <w:spacing w:line="440" w:lineRule="exact"/>
        <w:rPr>
          <w:rFonts w:ascii="Times New Roman" w:hAnsi="Times New Roman" w:eastAsia="黑体"/>
          <w:color w:val="000000"/>
          <w:szCs w:val="21"/>
        </w:rPr>
      </w:pPr>
      <w:r>
        <w:rPr>
          <w:rFonts w:ascii="Times New Roman" w:hAnsi="Times New Roman" w:eastAsia="黑体"/>
          <w:color w:val="000000"/>
          <w:szCs w:val="21"/>
        </w:rPr>
        <w:t>2 检验依据</w:t>
      </w:r>
    </w:p>
    <w:tbl>
      <w:tblPr>
        <w:tblStyle w:val="1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24"/>
        <w:gridCol w:w="2744"/>
        <w:gridCol w:w="2745"/>
        <w:gridCol w:w="2745"/>
      </w:tblGrid>
      <w:tr w14:paraId="3AFE3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tblHeader/>
          <w:jc w:val="center"/>
        </w:trPr>
        <w:tc>
          <w:tcPr>
            <w:tcW w:w="714" w:type="dxa"/>
            <w:tcMar>
              <w:left w:w="57" w:type="dxa"/>
              <w:right w:w="57" w:type="dxa"/>
            </w:tcMar>
            <w:vAlign w:val="center"/>
          </w:tcPr>
          <w:p w14:paraId="4840E039">
            <w:pPr>
              <w:jc w:val="center"/>
              <w:rPr>
                <w:rFonts w:ascii="Times New Roman" w:hAnsi="Times New Roman"/>
              </w:rPr>
            </w:pPr>
            <w:r>
              <w:rPr>
                <w:rFonts w:ascii="Times New Roman" w:hAnsi="Times New Roman"/>
              </w:rPr>
              <w:t>序号</w:t>
            </w:r>
          </w:p>
        </w:tc>
        <w:tc>
          <w:tcPr>
            <w:tcW w:w="2706" w:type="dxa"/>
            <w:tcMar>
              <w:left w:w="57" w:type="dxa"/>
              <w:right w:w="57" w:type="dxa"/>
            </w:tcMar>
            <w:vAlign w:val="center"/>
          </w:tcPr>
          <w:p w14:paraId="7BE6C25F">
            <w:pPr>
              <w:jc w:val="center"/>
              <w:rPr>
                <w:rFonts w:ascii="Times New Roman" w:hAnsi="Times New Roman"/>
              </w:rPr>
            </w:pPr>
            <w:r>
              <w:rPr>
                <w:rFonts w:ascii="Times New Roman" w:hAnsi="Times New Roman"/>
              </w:rPr>
              <w:t>检验项目</w:t>
            </w:r>
          </w:p>
        </w:tc>
        <w:tc>
          <w:tcPr>
            <w:tcW w:w="2707" w:type="dxa"/>
            <w:tcMar>
              <w:left w:w="57" w:type="dxa"/>
              <w:right w:w="57" w:type="dxa"/>
            </w:tcMar>
            <w:vAlign w:val="center"/>
          </w:tcPr>
          <w:p w14:paraId="5EBBA448">
            <w:pPr>
              <w:jc w:val="center"/>
              <w:rPr>
                <w:rFonts w:ascii="Times New Roman" w:hAnsi="Times New Roman"/>
              </w:rPr>
            </w:pPr>
            <w:r>
              <w:rPr>
                <w:szCs w:val="21"/>
              </w:rPr>
              <w:t>检验依据</w:t>
            </w:r>
          </w:p>
        </w:tc>
        <w:tc>
          <w:tcPr>
            <w:tcW w:w="2707" w:type="dxa"/>
            <w:tcMar>
              <w:left w:w="57" w:type="dxa"/>
              <w:right w:w="57" w:type="dxa"/>
            </w:tcMar>
            <w:vAlign w:val="center"/>
          </w:tcPr>
          <w:p w14:paraId="5F9A3C0A">
            <w:pPr>
              <w:jc w:val="center"/>
              <w:rPr>
                <w:rFonts w:ascii="Times New Roman" w:hAnsi="Times New Roman"/>
              </w:rPr>
            </w:pPr>
            <w:r>
              <w:rPr>
                <w:rFonts w:ascii="Times New Roman" w:hAnsi="Times New Roman"/>
              </w:rPr>
              <w:t>检验方法</w:t>
            </w:r>
          </w:p>
        </w:tc>
      </w:tr>
      <w:tr w14:paraId="62F35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714" w:type="dxa"/>
            <w:tcMar>
              <w:left w:w="57" w:type="dxa"/>
              <w:right w:w="57" w:type="dxa"/>
            </w:tcMar>
            <w:vAlign w:val="center"/>
          </w:tcPr>
          <w:p w14:paraId="465D1D2F">
            <w:pPr>
              <w:numPr>
                <w:ilvl w:val="0"/>
                <w:numId w:val="1"/>
              </w:numPr>
              <w:jc w:val="center"/>
              <w:rPr>
                <w:rFonts w:ascii="Times New Roman" w:hAnsi="Times New Roman"/>
              </w:rPr>
            </w:pPr>
          </w:p>
        </w:tc>
        <w:tc>
          <w:tcPr>
            <w:tcW w:w="2706" w:type="dxa"/>
            <w:tcMar>
              <w:left w:w="57" w:type="dxa"/>
              <w:right w:w="57" w:type="dxa"/>
            </w:tcMar>
            <w:vAlign w:val="center"/>
          </w:tcPr>
          <w:p w14:paraId="7D357687">
            <w:pPr>
              <w:widowControl/>
              <w:jc w:val="center"/>
              <w:rPr>
                <w:rFonts w:ascii="Times New Roman" w:hAnsi="Times New Roman"/>
                <w:bCs/>
                <w:kern w:val="0"/>
                <w:szCs w:val="21"/>
              </w:rPr>
            </w:pPr>
            <w:r>
              <w:rPr>
                <w:rFonts w:ascii="Times New Roman" w:hAnsi="Times New Roman"/>
                <w:bCs/>
                <w:kern w:val="0"/>
                <w:szCs w:val="21"/>
              </w:rPr>
              <w:t>长度</w:t>
            </w:r>
            <w:r>
              <w:rPr>
                <w:rFonts w:hint="eastAsia" w:ascii="Times New Roman" w:hAnsi="Times New Roman"/>
                <w:bCs/>
                <w:kern w:val="0"/>
                <w:szCs w:val="21"/>
              </w:rPr>
              <w:t>偏差</w:t>
            </w:r>
          </w:p>
        </w:tc>
        <w:tc>
          <w:tcPr>
            <w:tcW w:w="2707" w:type="dxa"/>
            <w:tcMar>
              <w:left w:w="57" w:type="dxa"/>
              <w:right w:w="57" w:type="dxa"/>
            </w:tcMar>
            <w:vAlign w:val="center"/>
          </w:tcPr>
          <w:p w14:paraId="07110CD0">
            <w:pPr>
              <w:pStyle w:val="6"/>
              <w:spacing w:line="300" w:lineRule="exact"/>
              <w:jc w:val="center"/>
              <w:rPr>
                <w:rFonts w:ascii="Times New Roman" w:hAnsi="Times New Roman"/>
                <w:bCs/>
                <w:sz w:val="21"/>
                <w:szCs w:val="21"/>
              </w:rPr>
            </w:pPr>
            <w:r>
              <w:rPr>
                <w:rFonts w:ascii="Times New Roman" w:hAnsi="Times New Roman"/>
                <w:bCs/>
                <w:sz w:val="21"/>
                <w:szCs w:val="21"/>
              </w:rPr>
              <w:t>GB/T 27728.1—2024</w:t>
            </w:r>
          </w:p>
        </w:tc>
        <w:tc>
          <w:tcPr>
            <w:tcW w:w="2707" w:type="dxa"/>
            <w:tcMar>
              <w:left w:w="57" w:type="dxa"/>
              <w:right w:w="57" w:type="dxa"/>
            </w:tcMar>
            <w:vAlign w:val="center"/>
          </w:tcPr>
          <w:p w14:paraId="1140185D">
            <w:pPr>
              <w:pStyle w:val="6"/>
              <w:spacing w:line="300" w:lineRule="exact"/>
              <w:jc w:val="center"/>
              <w:rPr>
                <w:rFonts w:ascii="Times New Roman" w:hAnsi="Times New Roman"/>
                <w:bCs/>
                <w:sz w:val="21"/>
                <w:szCs w:val="21"/>
              </w:rPr>
            </w:pPr>
            <w:r>
              <w:rPr>
                <w:rFonts w:ascii="Times New Roman" w:hAnsi="Times New Roman"/>
                <w:bCs/>
                <w:sz w:val="21"/>
                <w:szCs w:val="21"/>
              </w:rPr>
              <w:t>GB/T 27728.1—2024</w:t>
            </w:r>
          </w:p>
        </w:tc>
      </w:tr>
      <w:tr w14:paraId="374D0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714" w:type="dxa"/>
            <w:tcMar>
              <w:left w:w="57" w:type="dxa"/>
              <w:right w:w="57" w:type="dxa"/>
            </w:tcMar>
            <w:vAlign w:val="center"/>
          </w:tcPr>
          <w:p w14:paraId="7141D971">
            <w:pPr>
              <w:numPr>
                <w:ilvl w:val="0"/>
                <w:numId w:val="1"/>
              </w:numPr>
              <w:jc w:val="center"/>
              <w:rPr>
                <w:rFonts w:ascii="Times New Roman" w:hAnsi="Times New Roman"/>
              </w:rPr>
            </w:pPr>
          </w:p>
        </w:tc>
        <w:tc>
          <w:tcPr>
            <w:tcW w:w="2706" w:type="dxa"/>
            <w:tcMar>
              <w:left w:w="57" w:type="dxa"/>
              <w:right w:w="57" w:type="dxa"/>
            </w:tcMar>
            <w:vAlign w:val="center"/>
          </w:tcPr>
          <w:p w14:paraId="58081B65">
            <w:pPr>
              <w:jc w:val="center"/>
              <w:rPr>
                <w:rFonts w:ascii="Times New Roman" w:hAnsi="Times New Roman"/>
                <w:bCs/>
                <w:kern w:val="0"/>
                <w:szCs w:val="21"/>
              </w:rPr>
            </w:pPr>
            <w:r>
              <w:rPr>
                <w:rFonts w:ascii="Times New Roman" w:hAnsi="Times New Roman"/>
                <w:bCs/>
                <w:kern w:val="0"/>
                <w:szCs w:val="21"/>
              </w:rPr>
              <w:t>宽度</w:t>
            </w:r>
            <w:r>
              <w:rPr>
                <w:rFonts w:hint="eastAsia" w:ascii="Times New Roman" w:hAnsi="Times New Roman"/>
                <w:bCs/>
                <w:kern w:val="0"/>
                <w:szCs w:val="21"/>
              </w:rPr>
              <w:t>偏差</w:t>
            </w:r>
          </w:p>
        </w:tc>
        <w:tc>
          <w:tcPr>
            <w:tcW w:w="2707" w:type="dxa"/>
            <w:tcMar>
              <w:left w:w="57" w:type="dxa"/>
              <w:right w:w="57" w:type="dxa"/>
            </w:tcMar>
            <w:vAlign w:val="center"/>
          </w:tcPr>
          <w:p w14:paraId="4A0FDC3D">
            <w:pPr>
              <w:pStyle w:val="6"/>
              <w:spacing w:line="300" w:lineRule="exact"/>
              <w:jc w:val="center"/>
              <w:rPr>
                <w:rFonts w:ascii="Times New Roman" w:hAnsi="Times New Roman"/>
                <w:bCs/>
                <w:sz w:val="21"/>
                <w:szCs w:val="21"/>
              </w:rPr>
            </w:pPr>
            <w:r>
              <w:rPr>
                <w:rFonts w:ascii="Times New Roman" w:hAnsi="Times New Roman"/>
                <w:bCs/>
                <w:sz w:val="21"/>
                <w:szCs w:val="21"/>
              </w:rPr>
              <w:t>GB/T 27728.1—2024</w:t>
            </w:r>
          </w:p>
        </w:tc>
        <w:tc>
          <w:tcPr>
            <w:tcW w:w="2707" w:type="dxa"/>
            <w:tcMar>
              <w:left w:w="57" w:type="dxa"/>
              <w:right w:w="57" w:type="dxa"/>
            </w:tcMar>
            <w:vAlign w:val="center"/>
          </w:tcPr>
          <w:p w14:paraId="5D80F53D">
            <w:pPr>
              <w:pStyle w:val="6"/>
              <w:spacing w:line="300" w:lineRule="exact"/>
              <w:jc w:val="center"/>
              <w:rPr>
                <w:rFonts w:ascii="Times New Roman" w:hAnsi="Times New Roman"/>
                <w:bCs/>
                <w:sz w:val="21"/>
                <w:szCs w:val="21"/>
              </w:rPr>
            </w:pPr>
            <w:r>
              <w:rPr>
                <w:rFonts w:ascii="Times New Roman" w:hAnsi="Times New Roman"/>
                <w:bCs/>
                <w:sz w:val="21"/>
                <w:szCs w:val="21"/>
              </w:rPr>
              <w:t>GB/T 27728.1—2024</w:t>
            </w:r>
          </w:p>
        </w:tc>
      </w:tr>
      <w:tr w14:paraId="5D523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714" w:type="dxa"/>
            <w:tcMar>
              <w:left w:w="57" w:type="dxa"/>
              <w:right w:w="57" w:type="dxa"/>
            </w:tcMar>
            <w:vAlign w:val="center"/>
          </w:tcPr>
          <w:p w14:paraId="48E8B1DF">
            <w:pPr>
              <w:numPr>
                <w:ilvl w:val="0"/>
                <w:numId w:val="1"/>
              </w:numPr>
              <w:jc w:val="center"/>
              <w:rPr>
                <w:rFonts w:ascii="Times New Roman" w:hAnsi="Times New Roman"/>
              </w:rPr>
            </w:pPr>
          </w:p>
        </w:tc>
        <w:tc>
          <w:tcPr>
            <w:tcW w:w="2706" w:type="dxa"/>
            <w:tcMar>
              <w:left w:w="57" w:type="dxa"/>
              <w:right w:w="57" w:type="dxa"/>
            </w:tcMar>
            <w:vAlign w:val="center"/>
          </w:tcPr>
          <w:p w14:paraId="71CA65FC">
            <w:pPr>
              <w:jc w:val="center"/>
              <w:rPr>
                <w:rFonts w:ascii="Times New Roman" w:hAnsi="Times New Roman"/>
                <w:bCs/>
                <w:kern w:val="0"/>
                <w:szCs w:val="21"/>
              </w:rPr>
            </w:pPr>
            <w:r>
              <w:rPr>
                <w:rFonts w:ascii="Times New Roman" w:hAnsi="Times New Roman"/>
                <w:bCs/>
                <w:kern w:val="0"/>
                <w:szCs w:val="21"/>
              </w:rPr>
              <w:t>包装密封性能</w:t>
            </w:r>
          </w:p>
        </w:tc>
        <w:tc>
          <w:tcPr>
            <w:tcW w:w="2707" w:type="dxa"/>
            <w:tcMar>
              <w:left w:w="57" w:type="dxa"/>
              <w:right w:w="57" w:type="dxa"/>
            </w:tcMar>
            <w:vAlign w:val="center"/>
          </w:tcPr>
          <w:p w14:paraId="7CB76BC1">
            <w:pPr>
              <w:pStyle w:val="6"/>
              <w:spacing w:line="300" w:lineRule="exact"/>
              <w:jc w:val="center"/>
              <w:rPr>
                <w:rFonts w:ascii="Times New Roman" w:hAnsi="Times New Roman"/>
                <w:bCs/>
                <w:sz w:val="21"/>
                <w:szCs w:val="21"/>
              </w:rPr>
            </w:pPr>
            <w:r>
              <w:rPr>
                <w:rFonts w:ascii="Times New Roman" w:hAnsi="Times New Roman"/>
                <w:bCs/>
                <w:sz w:val="21"/>
                <w:szCs w:val="21"/>
              </w:rPr>
              <w:t>GB/T 27728.1—2024</w:t>
            </w:r>
          </w:p>
        </w:tc>
        <w:tc>
          <w:tcPr>
            <w:tcW w:w="2707" w:type="dxa"/>
            <w:tcMar>
              <w:left w:w="57" w:type="dxa"/>
              <w:right w:w="57" w:type="dxa"/>
            </w:tcMar>
            <w:vAlign w:val="center"/>
          </w:tcPr>
          <w:p w14:paraId="23ADCB05">
            <w:pPr>
              <w:pStyle w:val="6"/>
              <w:spacing w:line="300" w:lineRule="exact"/>
              <w:jc w:val="center"/>
              <w:rPr>
                <w:rFonts w:ascii="Times New Roman" w:hAnsi="Times New Roman"/>
                <w:bCs/>
                <w:sz w:val="21"/>
                <w:szCs w:val="21"/>
              </w:rPr>
            </w:pPr>
            <w:r>
              <w:rPr>
                <w:rFonts w:ascii="Times New Roman" w:hAnsi="Times New Roman"/>
                <w:bCs/>
                <w:sz w:val="21"/>
                <w:szCs w:val="21"/>
              </w:rPr>
              <w:t>GB/T 27728.1—2024</w:t>
            </w:r>
          </w:p>
        </w:tc>
      </w:tr>
      <w:tr w14:paraId="2A2C2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714" w:type="dxa"/>
            <w:tcMar>
              <w:left w:w="57" w:type="dxa"/>
              <w:right w:w="57" w:type="dxa"/>
            </w:tcMar>
            <w:vAlign w:val="center"/>
          </w:tcPr>
          <w:p w14:paraId="03158481">
            <w:pPr>
              <w:numPr>
                <w:ilvl w:val="0"/>
                <w:numId w:val="1"/>
              </w:numPr>
              <w:jc w:val="center"/>
              <w:rPr>
                <w:rFonts w:ascii="Times New Roman" w:hAnsi="Times New Roman"/>
              </w:rPr>
            </w:pPr>
          </w:p>
        </w:tc>
        <w:tc>
          <w:tcPr>
            <w:tcW w:w="2706" w:type="dxa"/>
            <w:tcMar>
              <w:left w:w="57" w:type="dxa"/>
              <w:right w:w="57" w:type="dxa"/>
            </w:tcMar>
            <w:vAlign w:val="center"/>
          </w:tcPr>
          <w:p w14:paraId="01BE21DA">
            <w:pPr>
              <w:jc w:val="center"/>
              <w:rPr>
                <w:rFonts w:ascii="Times New Roman" w:hAnsi="Times New Roman"/>
                <w:bCs/>
                <w:kern w:val="0"/>
                <w:szCs w:val="21"/>
              </w:rPr>
            </w:pPr>
            <w:r>
              <w:rPr>
                <w:rFonts w:ascii="Times New Roman" w:hAnsi="Times New Roman"/>
                <w:bCs/>
                <w:kern w:val="0"/>
                <w:szCs w:val="21"/>
              </w:rPr>
              <w:t>内装量短缺量</w:t>
            </w:r>
          </w:p>
        </w:tc>
        <w:tc>
          <w:tcPr>
            <w:tcW w:w="2707" w:type="dxa"/>
            <w:tcMar>
              <w:left w:w="57" w:type="dxa"/>
              <w:right w:w="57" w:type="dxa"/>
            </w:tcMar>
            <w:vAlign w:val="center"/>
          </w:tcPr>
          <w:p w14:paraId="76255EAA">
            <w:pPr>
              <w:pStyle w:val="6"/>
              <w:spacing w:line="300" w:lineRule="exact"/>
              <w:jc w:val="center"/>
              <w:rPr>
                <w:rFonts w:ascii="Times New Roman" w:hAnsi="Times New Roman"/>
                <w:bCs/>
                <w:sz w:val="21"/>
                <w:szCs w:val="21"/>
              </w:rPr>
            </w:pPr>
            <w:r>
              <w:rPr>
                <w:rFonts w:ascii="Times New Roman" w:hAnsi="Times New Roman"/>
                <w:bCs/>
                <w:sz w:val="21"/>
                <w:szCs w:val="21"/>
              </w:rPr>
              <w:t>GB/T 27728.1—2024</w:t>
            </w:r>
          </w:p>
        </w:tc>
        <w:tc>
          <w:tcPr>
            <w:tcW w:w="2707" w:type="dxa"/>
            <w:tcMar>
              <w:left w:w="57" w:type="dxa"/>
              <w:right w:w="57" w:type="dxa"/>
            </w:tcMar>
            <w:vAlign w:val="center"/>
          </w:tcPr>
          <w:p w14:paraId="12ADA1FD">
            <w:pPr>
              <w:pStyle w:val="6"/>
              <w:spacing w:line="300" w:lineRule="exact"/>
              <w:jc w:val="center"/>
              <w:rPr>
                <w:rFonts w:ascii="Times New Roman" w:hAnsi="Times New Roman"/>
                <w:bCs/>
                <w:sz w:val="21"/>
                <w:szCs w:val="21"/>
              </w:rPr>
            </w:pPr>
            <w:r>
              <w:rPr>
                <w:rFonts w:ascii="Times New Roman" w:hAnsi="Times New Roman"/>
                <w:bCs/>
                <w:sz w:val="21"/>
                <w:szCs w:val="21"/>
              </w:rPr>
              <w:t>GB/T 27728.1—2024</w:t>
            </w:r>
          </w:p>
        </w:tc>
      </w:tr>
      <w:tr w14:paraId="68CB2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714" w:type="dxa"/>
            <w:tcMar>
              <w:left w:w="57" w:type="dxa"/>
              <w:right w:w="57" w:type="dxa"/>
            </w:tcMar>
            <w:vAlign w:val="center"/>
          </w:tcPr>
          <w:p w14:paraId="5945E683">
            <w:pPr>
              <w:numPr>
                <w:ilvl w:val="0"/>
                <w:numId w:val="1"/>
              </w:numPr>
              <w:jc w:val="center"/>
              <w:rPr>
                <w:rFonts w:ascii="Times New Roman" w:hAnsi="Times New Roman"/>
              </w:rPr>
            </w:pPr>
          </w:p>
        </w:tc>
        <w:tc>
          <w:tcPr>
            <w:tcW w:w="2706" w:type="dxa"/>
            <w:tcMar>
              <w:left w:w="57" w:type="dxa"/>
              <w:right w:w="57" w:type="dxa"/>
            </w:tcMar>
            <w:vAlign w:val="center"/>
          </w:tcPr>
          <w:p w14:paraId="15DB6720">
            <w:pPr>
              <w:jc w:val="center"/>
              <w:rPr>
                <w:rFonts w:ascii="Times New Roman" w:hAnsi="Times New Roman"/>
                <w:bCs/>
                <w:kern w:val="0"/>
                <w:szCs w:val="21"/>
              </w:rPr>
            </w:pPr>
            <w:r>
              <w:rPr>
                <w:rFonts w:ascii="Times New Roman" w:hAnsi="Times New Roman"/>
                <w:bCs/>
                <w:kern w:val="0"/>
                <w:szCs w:val="21"/>
              </w:rPr>
              <w:t>含液量</w:t>
            </w:r>
          </w:p>
        </w:tc>
        <w:tc>
          <w:tcPr>
            <w:tcW w:w="2707" w:type="dxa"/>
            <w:tcMar>
              <w:left w:w="57" w:type="dxa"/>
              <w:right w:w="57" w:type="dxa"/>
            </w:tcMar>
            <w:vAlign w:val="center"/>
          </w:tcPr>
          <w:p w14:paraId="4963E788">
            <w:pPr>
              <w:pStyle w:val="6"/>
              <w:spacing w:line="300" w:lineRule="exact"/>
              <w:jc w:val="center"/>
              <w:rPr>
                <w:rFonts w:ascii="Times New Roman" w:hAnsi="Times New Roman"/>
                <w:bCs/>
                <w:sz w:val="21"/>
                <w:szCs w:val="21"/>
              </w:rPr>
            </w:pPr>
            <w:r>
              <w:rPr>
                <w:rFonts w:ascii="Times New Roman" w:hAnsi="Times New Roman"/>
                <w:bCs/>
                <w:sz w:val="21"/>
                <w:szCs w:val="21"/>
              </w:rPr>
              <w:t>GB/T 27728.1—2024</w:t>
            </w:r>
          </w:p>
          <w:p w14:paraId="1D0FFA83">
            <w:pPr>
              <w:pStyle w:val="6"/>
              <w:spacing w:line="300" w:lineRule="exact"/>
              <w:jc w:val="center"/>
              <w:rPr>
                <w:rFonts w:ascii="Times New Roman" w:hAnsi="Times New Roman"/>
                <w:bCs/>
                <w:sz w:val="21"/>
                <w:szCs w:val="21"/>
              </w:rPr>
            </w:pPr>
            <w:r>
              <w:rPr>
                <w:rFonts w:ascii="Times New Roman" w:hAnsi="Times New Roman"/>
                <w:bCs/>
                <w:sz w:val="21"/>
                <w:szCs w:val="21"/>
              </w:rPr>
              <w:t>GB/T 27728.</w:t>
            </w:r>
            <w:r>
              <w:rPr>
                <w:rFonts w:hint="eastAsia" w:ascii="Times New Roman" w:hAnsi="Times New Roman"/>
                <w:bCs/>
                <w:sz w:val="21"/>
                <w:szCs w:val="21"/>
              </w:rPr>
              <w:t>2</w:t>
            </w:r>
            <w:r>
              <w:rPr>
                <w:rFonts w:ascii="Times New Roman" w:hAnsi="Times New Roman"/>
                <w:bCs/>
                <w:sz w:val="21"/>
                <w:szCs w:val="21"/>
              </w:rPr>
              <w:t>—2024</w:t>
            </w:r>
          </w:p>
        </w:tc>
        <w:tc>
          <w:tcPr>
            <w:tcW w:w="2707" w:type="dxa"/>
            <w:tcMar>
              <w:left w:w="57" w:type="dxa"/>
              <w:right w:w="57" w:type="dxa"/>
            </w:tcMar>
            <w:vAlign w:val="center"/>
          </w:tcPr>
          <w:p w14:paraId="2933C6E8">
            <w:pPr>
              <w:pStyle w:val="6"/>
              <w:spacing w:line="300" w:lineRule="exact"/>
              <w:jc w:val="center"/>
              <w:rPr>
                <w:rFonts w:ascii="Times New Roman" w:hAnsi="Times New Roman"/>
                <w:bCs/>
                <w:sz w:val="21"/>
                <w:szCs w:val="21"/>
              </w:rPr>
            </w:pPr>
            <w:r>
              <w:rPr>
                <w:rFonts w:ascii="Times New Roman" w:hAnsi="Times New Roman"/>
                <w:bCs/>
                <w:sz w:val="21"/>
                <w:szCs w:val="21"/>
              </w:rPr>
              <w:t>GB/T 27728.1—2024</w:t>
            </w:r>
          </w:p>
          <w:p w14:paraId="090A3CCC">
            <w:pPr>
              <w:pStyle w:val="6"/>
              <w:spacing w:line="300" w:lineRule="exact"/>
              <w:jc w:val="center"/>
              <w:rPr>
                <w:rFonts w:ascii="Times New Roman" w:hAnsi="Times New Roman"/>
                <w:bCs/>
                <w:sz w:val="21"/>
                <w:szCs w:val="21"/>
              </w:rPr>
            </w:pPr>
            <w:r>
              <w:rPr>
                <w:rFonts w:ascii="Times New Roman" w:hAnsi="Times New Roman"/>
                <w:bCs/>
                <w:sz w:val="21"/>
                <w:szCs w:val="21"/>
              </w:rPr>
              <w:t>GB/T 27728.</w:t>
            </w:r>
            <w:r>
              <w:rPr>
                <w:rFonts w:hint="eastAsia" w:ascii="Times New Roman" w:hAnsi="Times New Roman"/>
                <w:bCs/>
                <w:sz w:val="21"/>
                <w:szCs w:val="21"/>
              </w:rPr>
              <w:t>2</w:t>
            </w:r>
            <w:r>
              <w:rPr>
                <w:rFonts w:ascii="Times New Roman" w:hAnsi="Times New Roman"/>
                <w:bCs/>
                <w:sz w:val="21"/>
                <w:szCs w:val="21"/>
              </w:rPr>
              <w:t>—2024</w:t>
            </w:r>
          </w:p>
        </w:tc>
      </w:tr>
      <w:tr w14:paraId="66829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714" w:type="dxa"/>
            <w:tcMar>
              <w:left w:w="57" w:type="dxa"/>
              <w:right w:w="57" w:type="dxa"/>
            </w:tcMar>
            <w:vAlign w:val="center"/>
          </w:tcPr>
          <w:p w14:paraId="607CAFB4">
            <w:pPr>
              <w:numPr>
                <w:ilvl w:val="0"/>
                <w:numId w:val="1"/>
              </w:numPr>
              <w:jc w:val="center"/>
              <w:rPr>
                <w:rFonts w:ascii="Times New Roman" w:hAnsi="Times New Roman"/>
              </w:rPr>
            </w:pPr>
          </w:p>
        </w:tc>
        <w:tc>
          <w:tcPr>
            <w:tcW w:w="2706" w:type="dxa"/>
            <w:tcMar>
              <w:left w:w="57" w:type="dxa"/>
              <w:right w:w="57" w:type="dxa"/>
            </w:tcMar>
            <w:vAlign w:val="center"/>
          </w:tcPr>
          <w:p w14:paraId="2A6D81CE">
            <w:pPr>
              <w:jc w:val="center"/>
              <w:rPr>
                <w:rFonts w:ascii="Times New Roman" w:hAnsi="Times New Roman"/>
                <w:bCs/>
                <w:kern w:val="0"/>
                <w:szCs w:val="21"/>
              </w:rPr>
            </w:pPr>
            <w:r>
              <w:rPr>
                <w:rFonts w:ascii="Times New Roman" w:hAnsi="Times New Roman"/>
                <w:bCs/>
                <w:kern w:val="0"/>
                <w:szCs w:val="21"/>
              </w:rPr>
              <w:t>可迁移性荧光物质</w:t>
            </w:r>
          </w:p>
        </w:tc>
        <w:tc>
          <w:tcPr>
            <w:tcW w:w="2707" w:type="dxa"/>
            <w:tcMar>
              <w:left w:w="57" w:type="dxa"/>
              <w:right w:w="57" w:type="dxa"/>
            </w:tcMar>
            <w:vAlign w:val="center"/>
          </w:tcPr>
          <w:p w14:paraId="46198783">
            <w:pPr>
              <w:pStyle w:val="6"/>
              <w:spacing w:line="300" w:lineRule="exact"/>
              <w:jc w:val="center"/>
              <w:rPr>
                <w:rFonts w:ascii="Times New Roman" w:hAnsi="Times New Roman"/>
                <w:bCs/>
                <w:sz w:val="21"/>
                <w:szCs w:val="21"/>
              </w:rPr>
            </w:pPr>
            <w:r>
              <w:rPr>
                <w:rFonts w:ascii="Times New Roman" w:hAnsi="Times New Roman"/>
                <w:bCs/>
                <w:sz w:val="21"/>
                <w:szCs w:val="21"/>
              </w:rPr>
              <w:t>GB/T 27728.1—2024</w:t>
            </w:r>
          </w:p>
        </w:tc>
        <w:tc>
          <w:tcPr>
            <w:tcW w:w="2707" w:type="dxa"/>
            <w:tcMar>
              <w:left w:w="57" w:type="dxa"/>
              <w:right w:w="57" w:type="dxa"/>
            </w:tcMar>
            <w:vAlign w:val="center"/>
          </w:tcPr>
          <w:p w14:paraId="5C7097F6">
            <w:pPr>
              <w:pStyle w:val="6"/>
              <w:spacing w:line="300" w:lineRule="exact"/>
              <w:jc w:val="center"/>
              <w:rPr>
                <w:rFonts w:ascii="Times New Roman" w:hAnsi="Times New Roman"/>
                <w:bCs/>
                <w:sz w:val="21"/>
                <w:szCs w:val="21"/>
              </w:rPr>
            </w:pPr>
            <w:r>
              <w:rPr>
                <w:rFonts w:ascii="Times New Roman" w:hAnsi="Times New Roman"/>
                <w:bCs/>
                <w:sz w:val="21"/>
                <w:szCs w:val="21"/>
              </w:rPr>
              <w:t>GB/T 27728.1—2024</w:t>
            </w:r>
          </w:p>
        </w:tc>
      </w:tr>
      <w:tr w14:paraId="52455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714" w:type="dxa"/>
            <w:tcMar>
              <w:left w:w="57" w:type="dxa"/>
              <w:right w:w="57" w:type="dxa"/>
            </w:tcMar>
            <w:vAlign w:val="center"/>
          </w:tcPr>
          <w:p w14:paraId="09AB979D">
            <w:pPr>
              <w:numPr>
                <w:ilvl w:val="0"/>
                <w:numId w:val="1"/>
              </w:numPr>
              <w:jc w:val="center"/>
              <w:rPr>
                <w:rFonts w:ascii="Times New Roman" w:hAnsi="Times New Roman"/>
              </w:rPr>
            </w:pPr>
          </w:p>
        </w:tc>
        <w:tc>
          <w:tcPr>
            <w:tcW w:w="2706" w:type="dxa"/>
            <w:tcMar>
              <w:left w:w="57" w:type="dxa"/>
              <w:right w:w="57" w:type="dxa"/>
            </w:tcMar>
            <w:vAlign w:val="center"/>
          </w:tcPr>
          <w:p w14:paraId="16E426D2">
            <w:pPr>
              <w:jc w:val="center"/>
              <w:rPr>
                <w:rFonts w:hint="eastAsia" w:ascii="Times New Roman" w:hAnsi="Times New Roman" w:eastAsia="宋体"/>
                <w:bCs/>
                <w:kern w:val="0"/>
                <w:szCs w:val="21"/>
                <w:lang w:val="en-US" w:eastAsia="zh-CN"/>
              </w:rPr>
            </w:pPr>
            <w:r>
              <w:rPr>
                <w:rFonts w:ascii="Times New Roman" w:hAnsi="Times New Roman"/>
                <w:bCs/>
                <w:kern w:val="0"/>
                <w:szCs w:val="21"/>
              </w:rPr>
              <w:t>pH</w:t>
            </w:r>
            <w:r>
              <w:rPr>
                <w:rFonts w:hint="eastAsia" w:ascii="Times New Roman" w:hAnsi="Times New Roman"/>
                <w:bCs/>
                <w:kern w:val="0"/>
                <w:szCs w:val="21"/>
                <w:lang w:val="en-US" w:eastAsia="zh-CN"/>
              </w:rPr>
              <w:t>值</w:t>
            </w:r>
          </w:p>
        </w:tc>
        <w:tc>
          <w:tcPr>
            <w:tcW w:w="2707" w:type="dxa"/>
            <w:tcMar>
              <w:left w:w="57" w:type="dxa"/>
              <w:right w:w="57" w:type="dxa"/>
            </w:tcMar>
            <w:vAlign w:val="center"/>
          </w:tcPr>
          <w:p w14:paraId="29ED6CE9">
            <w:pPr>
              <w:pStyle w:val="6"/>
              <w:spacing w:line="300" w:lineRule="exact"/>
              <w:jc w:val="center"/>
              <w:rPr>
                <w:rFonts w:ascii="Times New Roman" w:hAnsi="Times New Roman"/>
                <w:bCs/>
                <w:sz w:val="21"/>
                <w:szCs w:val="21"/>
              </w:rPr>
            </w:pPr>
            <w:r>
              <w:rPr>
                <w:rFonts w:ascii="Times New Roman" w:hAnsi="Times New Roman"/>
                <w:bCs/>
                <w:sz w:val="21"/>
                <w:szCs w:val="21"/>
              </w:rPr>
              <w:t>GB/T 27728.1—2024</w:t>
            </w:r>
          </w:p>
          <w:p w14:paraId="49B21663">
            <w:pPr>
              <w:pStyle w:val="6"/>
              <w:spacing w:line="300" w:lineRule="exact"/>
              <w:jc w:val="center"/>
              <w:rPr>
                <w:rFonts w:ascii="Times New Roman" w:hAnsi="Times New Roman"/>
                <w:bCs/>
                <w:sz w:val="21"/>
                <w:szCs w:val="21"/>
              </w:rPr>
            </w:pPr>
            <w:r>
              <w:rPr>
                <w:rFonts w:ascii="Times New Roman" w:hAnsi="Times New Roman"/>
                <w:bCs/>
                <w:sz w:val="21"/>
                <w:szCs w:val="21"/>
              </w:rPr>
              <w:t>GB/T 27728.</w:t>
            </w:r>
            <w:r>
              <w:rPr>
                <w:rFonts w:hint="eastAsia" w:ascii="Times New Roman" w:hAnsi="Times New Roman"/>
                <w:bCs/>
                <w:sz w:val="21"/>
                <w:szCs w:val="21"/>
              </w:rPr>
              <w:t>2</w:t>
            </w:r>
            <w:r>
              <w:rPr>
                <w:rFonts w:ascii="Times New Roman" w:hAnsi="Times New Roman"/>
                <w:bCs/>
                <w:sz w:val="21"/>
                <w:szCs w:val="21"/>
              </w:rPr>
              <w:t>—2024</w:t>
            </w:r>
          </w:p>
        </w:tc>
        <w:tc>
          <w:tcPr>
            <w:tcW w:w="2707" w:type="dxa"/>
            <w:tcMar>
              <w:left w:w="57" w:type="dxa"/>
              <w:right w:w="57" w:type="dxa"/>
            </w:tcMar>
            <w:vAlign w:val="center"/>
          </w:tcPr>
          <w:p w14:paraId="6F90E00D">
            <w:pPr>
              <w:pStyle w:val="6"/>
              <w:spacing w:line="300" w:lineRule="exact"/>
              <w:jc w:val="center"/>
              <w:rPr>
                <w:rFonts w:ascii="Times New Roman" w:hAnsi="Times New Roman"/>
                <w:bCs/>
                <w:sz w:val="21"/>
                <w:szCs w:val="21"/>
              </w:rPr>
            </w:pPr>
            <w:r>
              <w:rPr>
                <w:rFonts w:ascii="Times New Roman" w:hAnsi="Times New Roman"/>
                <w:bCs/>
                <w:sz w:val="21"/>
                <w:szCs w:val="21"/>
              </w:rPr>
              <w:t>GB/T 27728.1—2024</w:t>
            </w:r>
          </w:p>
          <w:p w14:paraId="5011B479">
            <w:pPr>
              <w:pStyle w:val="6"/>
              <w:spacing w:line="300" w:lineRule="exact"/>
              <w:jc w:val="center"/>
              <w:rPr>
                <w:rFonts w:ascii="Times New Roman" w:hAnsi="Times New Roman"/>
                <w:bCs/>
                <w:sz w:val="21"/>
                <w:szCs w:val="21"/>
              </w:rPr>
            </w:pPr>
            <w:r>
              <w:rPr>
                <w:rFonts w:ascii="Times New Roman" w:hAnsi="Times New Roman"/>
                <w:bCs/>
                <w:sz w:val="21"/>
                <w:szCs w:val="21"/>
              </w:rPr>
              <w:t>GB/T 27728.</w:t>
            </w:r>
            <w:r>
              <w:rPr>
                <w:rFonts w:hint="eastAsia" w:ascii="Times New Roman" w:hAnsi="Times New Roman"/>
                <w:bCs/>
                <w:sz w:val="21"/>
                <w:szCs w:val="21"/>
              </w:rPr>
              <w:t>2</w:t>
            </w:r>
            <w:r>
              <w:rPr>
                <w:rFonts w:ascii="Times New Roman" w:hAnsi="Times New Roman"/>
                <w:bCs/>
                <w:sz w:val="21"/>
                <w:szCs w:val="21"/>
              </w:rPr>
              <w:t>—2024</w:t>
            </w:r>
          </w:p>
        </w:tc>
      </w:tr>
      <w:tr w14:paraId="5EA43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714" w:type="dxa"/>
            <w:tcMar>
              <w:left w:w="57" w:type="dxa"/>
              <w:right w:w="57" w:type="dxa"/>
            </w:tcMar>
            <w:vAlign w:val="center"/>
          </w:tcPr>
          <w:p w14:paraId="20272D22">
            <w:pPr>
              <w:numPr>
                <w:ilvl w:val="0"/>
                <w:numId w:val="1"/>
              </w:numPr>
              <w:jc w:val="center"/>
              <w:rPr>
                <w:rFonts w:ascii="Times New Roman" w:hAnsi="Times New Roman"/>
              </w:rPr>
            </w:pPr>
          </w:p>
        </w:tc>
        <w:tc>
          <w:tcPr>
            <w:tcW w:w="2706" w:type="dxa"/>
            <w:tcMar>
              <w:left w:w="57" w:type="dxa"/>
              <w:right w:w="57" w:type="dxa"/>
            </w:tcMar>
            <w:vAlign w:val="center"/>
          </w:tcPr>
          <w:p w14:paraId="19FB3670">
            <w:pPr>
              <w:jc w:val="center"/>
              <w:rPr>
                <w:rFonts w:ascii="Times New Roman" w:hAnsi="Times New Roman"/>
                <w:bCs/>
                <w:kern w:val="0"/>
                <w:szCs w:val="21"/>
              </w:rPr>
            </w:pPr>
            <w:r>
              <w:rPr>
                <w:rFonts w:ascii="Times New Roman" w:hAnsi="Times New Roman"/>
                <w:bCs/>
                <w:kern w:val="0"/>
                <w:szCs w:val="21"/>
              </w:rPr>
              <w:t>细菌菌落总数</w:t>
            </w:r>
          </w:p>
        </w:tc>
        <w:tc>
          <w:tcPr>
            <w:tcW w:w="2707" w:type="dxa"/>
            <w:tcMar>
              <w:left w:w="57" w:type="dxa"/>
              <w:right w:w="57" w:type="dxa"/>
            </w:tcMar>
          </w:tcPr>
          <w:p w14:paraId="7905BDDF">
            <w:pPr>
              <w:pStyle w:val="6"/>
              <w:spacing w:line="300" w:lineRule="exact"/>
              <w:jc w:val="center"/>
              <w:rPr>
                <w:rFonts w:ascii="Times New Roman" w:hAnsi="Times New Roman"/>
                <w:bCs/>
                <w:sz w:val="21"/>
                <w:szCs w:val="21"/>
              </w:rPr>
            </w:pPr>
            <w:r>
              <w:rPr>
                <w:rFonts w:ascii="Times New Roman" w:hAnsi="Times New Roman"/>
                <w:bCs/>
                <w:sz w:val="21"/>
                <w:szCs w:val="21"/>
              </w:rPr>
              <w:t>GB/T 27728.1—2024</w:t>
            </w:r>
          </w:p>
          <w:p w14:paraId="0DFD1605">
            <w:pPr>
              <w:pStyle w:val="6"/>
              <w:spacing w:line="300" w:lineRule="exact"/>
              <w:jc w:val="center"/>
              <w:rPr>
                <w:rFonts w:ascii="Times New Roman" w:hAnsi="Times New Roman"/>
                <w:bCs/>
                <w:sz w:val="21"/>
                <w:szCs w:val="21"/>
              </w:rPr>
            </w:pPr>
            <w:r>
              <w:rPr>
                <w:rFonts w:ascii="Times New Roman" w:hAnsi="Times New Roman"/>
                <w:bCs/>
                <w:sz w:val="21"/>
                <w:szCs w:val="21"/>
              </w:rPr>
              <w:t>GB/T 27728.</w:t>
            </w:r>
            <w:r>
              <w:rPr>
                <w:rFonts w:hint="eastAsia" w:ascii="Times New Roman" w:hAnsi="Times New Roman"/>
                <w:bCs/>
                <w:sz w:val="21"/>
                <w:szCs w:val="21"/>
              </w:rPr>
              <w:t>2</w:t>
            </w:r>
            <w:r>
              <w:rPr>
                <w:rFonts w:ascii="Times New Roman" w:hAnsi="Times New Roman"/>
                <w:bCs/>
                <w:sz w:val="21"/>
                <w:szCs w:val="21"/>
              </w:rPr>
              <w:t>—2024</w:t>
            </w:r>
          </w:p>
          <w:p w14:paraId="55642C4B">
            <w:pPr>
              <w:pStyle w:val="6"/>
              <w:spacing w:line="300" w:lineRule="exact"/>
              <w:jc w:val="center"/>
              <w:rPr>
                <w:rFonts w:ascii="Times New Roman" w:hAnsi="Times New Roman"/>
                <w:bCs/>
                <w:sz w:val="21"/>
                <w:szCs w:val="21"/>
              </w:rPr>
            </w:pPr>
            <w:r>
              <w:rPr>
                <w:rFonts w:ascii="Times New Roman" w:hAnsi="Times New Roman"/>
                <w:bCs/>
                <w:sz w:val="21"/>
                <w:szCs w:val="21"/>
              </w:rPr>
              <w:t>GB</w:t>
            </w:r>
            <w:r>
              <w:rPr>
                <w:rFonts w:hint="eastAsia" w:ascii="Times New Roman" w:hAnsi="Times New Roman"/>
                <w:bCs/>
                <w:sz w:val="21"/>
                <w:szCs w:val="21"/>
                <w:lang w:val="en-US" w:eastAsia="zh-CN"/>
              </w:rPr>
              <w:t xml:space="preserve"> </w:t>
            </w:r>
            <w:r>
              <w:rPr>
                <w:rFonts w:ascii="Times New Roman" w:hAnsi="Times New Roman"/>
                <w:bCs/>
                <w:sz w:val="21"/>
                <w:szCs w:val="21"/>
              </w:rPr>
              <w:t>15979—2024</w:t>
            </w:r>
          </w:p>
        </w:tc>
        <w:tc>
          <w:tcPr>
            <w:tcW w:w="2707" w:type="dxa"/>
            <w:tcMar>
              <w:left w:w="57" w:type="dxa"/>
              <w:right w:w="57" w:type="dxa"/>
            </w:tcMar>
            <w:vAlign w:val="center"/>
          </w:tcPr>
          <w:p w14:paraId="7F042FA1">
            <w:pPr>
              <w:pStyle w:val="6"/>
              <w:spacing w:line="300" w:lineRule="exact"/>
              <w:jc w:val="center"/>
              <w:rPr>
                <w:rFonts w:ascii="Times New Roman" w:hAnsi="Times New Roman"/>
                <w:bCs/>
                <w:sz w:val="21"/>
                <w:szCs w:val="21"/>
              </w:rPr>
            </w:pPr>
            <w:r>
              <w:rPr>
                <w:rFonts w:ascii="Times New Roman" w:hAnsi="Times New Roman"/>
                <w:bCs/>
                <w:sz w:val="21"/>
                <w:szCs w:val="21"/>
              </w:rPr>
              <w:t>GB</w:t>
            </w:r>
            <w:r>
              <w:rPr>
                <w:rFonts w:hint="eastAsia" w:ascii="Times New Roman" w:hAnsi="Times New Roman"/>
                <w:bCs/>
                <w:sz w:val="21"/>
                <w:szCs w:val="21"/>
                <w:lang w:val="en-US" w:eastAsia="zh-CN"/>
              </w:rPr>
              <w:t xml:space="preserve"> </w:t>
            </w:r>
            <w:r>
              <w:rPr>
                <w:rFonts w:ascii="Times New Roman" w:hAnsi="Times New Roman"/>
                <w:bCs/>
                <w:sz w:val="21"/>
                <w:szCs w:val="21"/>
              </w:rPr>
              <w:t>15979—2024</w:t>
            </w:r>
          </w:p>
        </w:tc>
      </w:tr>
      <w:tr w14:paraId="048CD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714" w:type="dxa"/>
            <w:tcMar>
              <w:left w:w="57" w:type="dxa"/>
              <w:right w:w="57" w:type="dxa"/>
            </w:tcMar>
            <w:vAlign w:val="center"/>
          </w:tcPr>
          <w:p w14:paraId="48D620B0">
            <w:pPr>
              <w:numPr>
                <w:ilvl w:val="0"/>
                <w:numId w:val="1"/>
              </w:numPr>
              <w:jc w:val="center"/>
              <w:rPr>
                <w:rFonts w:ascii="Times New Roman" w:hAnsi="Times New Roman"/>
              </w:rPr>
            </w:pPr>
          </w:p>
        </w:tc>
        <w:tc>
          <w:tcPr>
            <w:tcW w:w="2706" w:type="dxa"/>
            <w:tcMar>
              <w:left w:w="57" w:type="dxa"/>
              <w:right w:w="57" w:type="dxa"/>
            </w:tcMar>
            <w:vAlign w:val="center"/>
          </w:tcPr>
          <w:p w14:paraId="59B0DF3F">
            <w:pPr>
              <w:jc w:val="center"/>
              <w:rPr>
                <w:rFonts w:ascii="Times New Roman" w:hAnsi="Times New Roman"/>
                <w:bCs/>
                <w:kern w:val="0"/>
                <w:szCs w:val="21"/>
              </w:rPr>
            </w:pPr>
            <w:r>
              <w:rPr>
                <w:rFonts w:ascii="Times New Roman" w:hAnsi="Times New Roman"/>
                <w:bCs/>
                <w:kern w:val="0"/>
                <w:szCs w:val="21"/>
              </w:rPr>
              <w:t>大肠菌群</w:t>
            </w:r>
          </w:p>
        </w:tc>
        <w:tc>
          <w:tcPr>
            <w:tcW w:w="2707" w:type="dxa"/>
            <w:tcMar>
              <w:left w:w="57" w:type="dxa"/>
              <w:right w:w="57" w:type="dxa"/>
            </w:tcMar>
          </w:tcPr>
          <w:p w14:paraId="7424282F">
            <w:pPr>
              <w:pStyle w:val="6"/>
              <w:spacing w:line="300" w:lineRule="exact"/>
              <w:jc w:val="center"/>
              <w:rPr>
                <w:rFonts w:ascii="Times New Roman" w:hAnsi="Times New Roman"/>
                <w:bCs/>
                <w:sz w:val="21"/>
                <w:szCs w:val="21"/>
              </w:rPr>
            </w:pPr>
            <w:r>
              <w:rPr>
                <w:rFonts w:ascii="Times New Roman" w:hAnsi="Times New Roman"/>
                <w:bCs/>
                <w:sz w:val="21"/>
                <w:szCs w:val="21"/>
              </w:rPr>
              <w:t>GB/T 27728.1—2024</w:t>
            </w:r>
          </w:p>
          <w:p w14:paraId="5E28A695">
            <w:pPr>
              <w:pStyle w:val="6"/>
              <w:spacing w:line="300" w:lineRule="exact"/>
              <w:jc w:val="center"/>
              <w:rPr>
                <w:rFonts w:ascii="Times New Roman" w:hAnsi="Times New Roman"/>
                <w:bCs/>
                <w:sz w:val="21"/>
                <w:szCs w:val="21"/>
              </w:rPr>
            </w:pPr>
            <w:r>
              <w:rPr>
                <w:rFonts w:ascii="Times New Roman" w:hAnsi="Times New Roman"/>
                <w:bCs/>
                <w:sz w:val="21"/>
                <w:szCs w:val="21"/>
              </w:rPr>
              <w:t>GB/T 27728.</w:t>
            </w:r>
            <w:r>
              <w:rPr>
                <w:rFonts w:hint="eastAsia" w:ascii="Times New Roman" w:hAnsi="Times New Roman"/>
                <w:bCs/>
                <w:sz w:val="21"/>
                <w:szCs w:val="21"/>
              </w:rPr>
              <w:t>2</w:t>
            </w:r>
            <w:r>
              <w:rPr>
                <w:rFonts w:ascii="Times New Roman" w:hAnsi="Times New Roman"/>
                <w:bCs/>
                <w:sz w:val="21"/>
                <w:szCs w:val="21"/>
              </w:rPr>
              <w:t>—2024</w:t>
            </w:r>
          </w:p>
          <w:p w14:paraId="71714F85">
            <w:pPr>
              <w:pStyle w:val="6"/>
              <w:spacing w:line="300" w:lineRule="exact"/>
              <w:jc w:val="center"/>
              <w:rPr>
                <w:rFonts w:ascii="Times New Roman" w:hAnsi="Times New Roman"/>
                <w:bCs/>
                <w:sz w:val="21"/>
                <w:szCs w:val="21"/>
              </w:rPr>
            </w:pPr>
            <w:r>
              <w:rPr>
                <w:rFonts w:ascii="Times New Roman" w:hAnsi="Times New Roman"/>
                <w:bCs/>
                <w:sz w:val="21"/>
                <w:szCs w:val="21"/>
              </w:rPr>
              <w:t>GB</w:t>
            </w:r>
            <w:r>
              <w:rPr>
                <w:rFonts w:hint="eastAsia" w:ascii="Times New Roman" w:hAnsi="Times New Roman"/>
                <w:bCs/>
                <w:sz w:val="21"/>
                <w:szCs w:val="21"/>
                <w:lang w:val="en-US" w:eastAsia="zh-CN"/>
              </w:rPr>
              <w:t xml:space="preserve"> </w:t>
            </w:r>
            <w:r>
              <w:rPr>
                <w:rFonts w:ascii="Times New Roman" w:hAnsi="Times New Roman"/>
                <w:bCs/>
                <w:sz w:val="21"/>
                <w:szCs w:val="21"/>
              </w:rPr>
              <w:t>15979—2024</w:t>
            </w:r>
          </w:p>
        </w:tc>
        <w:tc>
          <w:tcPr>
            <w:tcW w:w="2707" w:type="dxa"/>
            <w:tcMar>
              <w:left w:w="57" w:type="dxa"/>
              <w:right w:w="57" w:type="dxa"/>
            </w:tcMar>
            <w:vAlign w:val="center"/>
          </w:tcPr>
          <w:p w14:paraId="2304A724">
            <w:pPr>
              <w:pStyle w:val="6"/>
              <w:spacing w:line="300" w:lineRule="exact"/>
              <w:jc w:val="center"/>
              <w:rPr>
                <w:rFonts w:ascii="Times New Roman" w:hAnsi="Times New Roman"/>
                <w:bCs/>
                <w:sz w:val="21"/>
                <w:szCs w:val="21"/>
              </w:rPr>
            </w:pPr>
            <w:r>
              <w:rPr>
                <w:rFonts w:ascii="Times New Roman" w:hAnsi="Times New Roman"/>
                <w:bCs/>
                <w:sz w:val="21"/>
                <w:szCs w:val="21"/>
              </w:rPr>
              <w:t>GB</w:t>
            </w:r>
            <w:r>
              <w:rPr>
                <w:rFonts w:hint="eastAsia" w:ascii="Times New Roman" w:hAnsi="Times New Roman"/>
                <w:bCs/>
                <w:sz w:val="21"/>
                <w:szCs w:val="21"/>
                <w:lang w:val="en-US" w:eastAsia="zh-CN"/>
              </w:rPr>
              <w:t xml:space="preserve"> </w:t>
            </w:r>
            <w:r>
              <w:rPr>
                <w:rFonts w:ascii="Times New Roman" w:hAnsi="Times New Roman"/>
                <w:bCs/>
                <w:sz w:val="21"/>
                <w:szCs w:val="21"/>
              </w:rPr>
              <w:t>15979—2024</w:t>
            </w:r>
          </w:p>
        </w:tc>
      </w:tr>
      <w:tr w14:paraId="11080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714" w:type="dxa"/>
            <w:tcMar>
              <w:left w:w="57" w:type="dxa"/>
              <w:right w:w="57" w:type="dxa"/>
            </w:tcMar>
            <w:vAlign w:val="center"/>
          </w:tcPr>
          <w:p w14:paraId="19012F1D">
            <w:pPr>
              <w:numPr>
                <w:ilvl w:val="0"/>
                <w:numId w:val="1"/>
              </w:numPr>
              <w:jc w:val="center"/>
              <w:rPr>
                <w:rFonts w:ascii="Times New Roman" w:hAnsi="Times New Roman"/>
              </w:rPr>
            </w:pPr>
          </w:p>
        </w:tc>
        <w:tc>
          <w:tcPr>
            <w:tcW w:w="2706" w:type="dxa"/>
            <w:tcMar>
              <w:left w:w="57" w:type="dxa"/>
              <w:right w:w="57" w:type="dxa"/>
            </w:tcMar>
            <w:vAlign w:val="center"/>
          </w:tcPr>
          <w:p w14:paraId="5D791F76">
            <w:pPr>
              <w:jc w:val="center"/>
              <w:rPr>
                <w:rFonts w:ascii="Times New Roman" w:hAnsi="Times New Roman"/>
                <w:bCs/>
                <w:color w:val="EE0000"/>
                <w:kern w:val="0"/>
                <w:szCs w:val="21"/>
                <w:highlight w:val="yellow"/>
              </w:rPr>
            </w:pPr>
            <w:r>
              <w:rPr>
                <w:rFonts w:hint="eastAsia" w:ascii="宋体" w:hAnsi="宋体" w:cs="宋体"/>
                <w:kern w:val="0"/>
                <w:szCs w:val="21"/>
              </w:rPr>
              <w:t>铜绿假单胞菌</w:t>
            </w:r>
          </w:p>
        </w:tc>
        <w:tc>
          <w:tcPr>
            <w:tcW w:w="2707" w:type="dxa"/>
            <w:tcMar>
              <w:left w:w="57" w:type="dxa"/>
              <w:right w:w="57" w:type="dxa"/>
            </w:tcMar>
          </w:tcPr>
          <w:p w14:paraId="57C120FA">
            <w:pPr>
              <w:pStyle w:val="6"/>
              <w:spacing w:line="300" w:lineRule="exact"/>
              <w:jc w:val="center"/>
              <w:rPr>
                <w:rFonts w:ascii="Times New Roman" w:hAnsi="Times New Roman"/>
                <w:bCs/>
                <w:sz w:val="21"/>
                <w:szCs w:val="21"/>
              </w:rPr>
            </w:pPr>
            <w:r>
              <w:rPr>
                <w:rFonts w:ascii="Times New Roman" w:hAnsi="Times New Roman"/>
                <w:bCs/>
                <w:sz w:val="21"/>
                <w:szCs w:val="21"/>
              </w:rPr>
              <w:t>GB/T 27728.1—2024</w:t>
            </w:r>
          </w:p>
          <w:p w14:paraId="44EA454D">
            <w:pPr>
              <w:pStyle w:val="6"/>
              <w:spacing w:line="300" w:lineRule="exact"/>
              <w:jc w:val="center"/>
              <w:rPr>
                <w:rFonts w:ascii="Times New Roman" w:hAnsi="Times New Roman"/>
                <w:bCs/>
                <w:sz w:val="21"/>
                <w:szCs w:val="21"/>
              </w:rPr>
            </w:pPr>
            <w:r>
              <w:rPr>
                <w:rFonts w:ascii="Times New Roman" w:hAnsi="Times New Roman"/>
                <w:bCs/>
                <w:sz w:val="21"/>
                <w:szCs w:val="21"/>
              </w:rPr>
              <w:t>GB/T 27728.</w:t>
            </w:r>
            <w:r>
              <w:rPr>
                <w:rFonts w:hint="eastAsia" w:ascii="Times New Roman" w:hAnsi="Times New Roman"/>
                <w:bCs/>
                <w:sz w:val="21"/>
                <w:szCs w:val="21"/>
              </w:rPr>
              <w:t>2</w:t>
            </w:r>
            <w:r>
              <w:rPr>
                <w:rFonts w:ascii="Times New Roman" w:hAnsi="Times New Roman"/>
                <w:bCs/>
                <w:sz w:val="21"/>
                <w:szCs w:val="21"/>
              </w:rPr>
              <w:t>—2024</w:t>
            </w:r>
          </w:p>
          <w:p w14:paraId="0AB8C6FD">
            <w:pPr>
              <w:pStyle w:val="6"/>
              <w:spacing w:line="300" w:lineRule="exact"/>
              <w:jc w:val="center"/>
              <w:rPr>
                <w:rFonts w:ascii="Times New Roman" w:hAnsi="Times New Roman"/>
                <w:bCs/>
                <w:sz w:val="21"/>
                <w:szCs w:val="21"/>
              </w:rPr>
            </w:pPr>
            <w:r>
              <w:rPr>
                <w:rFonts w:ascii="Times New Roman" w:hAnsi="Times New Roman"/>
                <w:bCs/>
                <w:sz w:val="21"/>
                <w:szCs w:val="21"/>
              </w:rPr>
              <w:t>GB</w:t>
            </w:r>
            <w:r>
              <w:rPr>
                <w:rFonts w:hint="eastAsia" w:ascii="Times New Roman" w:hAnsi="Times New Roman"/>
                <w:bCs/>
                <w:sz w:val="21"/>
                <w:szCs w:val="21"/>
                <w:lang w:val="en-US" w:eastAsia="zh-CN"/>
              </w:rPr>
              <w:t xml:space="preserve"> </w:t>
            </w:r>
            <w:r>
              <w:rPr>
                <w:rFonts w:ascii="Times New Roman" w:hAnsi="Times New Roman"/>
                <w:bCs/>
                <w:sz w:val="21"/>
                <w:szCs w:val="21"/>
              </w:rPr>
              <w:t>15979—2024</w:t>
            </w:r>
          </w:p>
        </w:tc>
        <w:tc>
          <w:tcPr>
            <w:tcW w:w="2707" w:type="dxa"/>
            <w:tcMar>
              <w:left w:w="57" w:type="dxa"/>
              <w:right w:w="57" w:type="dxa"/>
            </w:tcMar>
            <w:vAlign w:val="center"/>
          </w:tcPr>
          <w:p w14:paraId="6DB69892">
            <w:pPr>
              <w:pStyle w:val="6"/>
              <w:spacing w:line="300" w:lineRule="exact"/>
              <w:jc w:val="center"/>
              <w:rPr>
                <w:rFonts w:ascii="Times New Roman" w:hAnsi="Times New Roman"/>
                <w:bCs/>
                <w:sz w:val="21"/>
                <w:szCs w:val="21"/>
              </w:rPr>
            </w:pPr>
            <w:r>
              <w:rPr>
                <w:rFonts w:ascii="Times New Roman" w:hAnsi="Times New Roman"/>
                <w:bCs/>
                <w:sz w:val="21"/>
                <w:szCs w:val="21"/>
              </w:rPr>
              <w:t>GB</w:t>
            </w:r>
            <w:r>
              <w:rPr>
                <w:rFonts w:hint="eastAsia" w:ascii="Times New Roman" w:hAnsi="Times New Roman"/>
                <w:bCs/>
                <w:sz w:val="21"/>
                <w:szCs w:val="21"/>
                <w:lang w:val="en-US" w:eastAsia="zh-CN"/>
              </w:rPr>
              <w:t xml:space="preserve"> </w:t>
            </w:r>
            <w:r>
              <w:rPr>
                <w:rFonts w:ascii="Times New Roman" w:hAnsi="Times New Roman"/>
                <w:bCs/>
                <w:sz w:val="21"/>
                <w:szCs w:val="21"/>
              </w:rPr>
              <w:t>15979—2024</w:t>
            </w:r>
          </w:p>
        </w:tc>
      </w:tr>
      <w:tr w14:paraId="520E7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714" w:type="dxa"/>
            <w:tcMar>
              <w:left w:w="57" w:type="dxa"/>
              <w:right w:w="57" w:type="dxa"/>
            </w:tcMar>
            <w:vAlign w:val="center"/>
          </w:tcPr>
          <w:p w14:paraId="0A68B2C5">
            <w:pPr>
              <w:numPr>
                <w:ilvl w:val="0"/>
                <w:numId w:val="1"/>
              </w:numPr>
              <w:jc w:val="center"/>
              <w:rPr>
                <w:rFonts w:ascii="Times New Roman" w:hAnsi="Times New Roman"/>
              </w:rPr>
            </w:pPr>
          </w:p>
        </w:tc>
        <w:tc>
          <w:tcPr>
            <w:tcW w:w="2706" w:type="dxa"/>
            <w:tcMar>
              <w:left w:w="57" w:type="dxa"/>
              <w:right w:w="57" w:type="dxa"/>
            </w:tcMar>
            <w:vAlign w:val="center"/>
          </w:tcPr>
          <w:p w14:paraId="6D9EF1F3">
            <w:pPr>
              <w:jc w:val="center"/>
              <w:rPr>
                <w:rFonts w:ascii="Times New Roman" w:hAnsi="Times New Roman"/>
                <w:bCs/>
                <w:color w:val="EE0000"/>
                <w:kern w:val="0"/>
                <w:szCs w:val="21"/>
                <w:highlight w:val="yellow"/>
              </w:rPr>
            </w:pPr>
            <w:r>
              <w:rPr>
                <w:rFonts w:hint="eastAsia" w:ascii="宋体" w:hAnsi="宋体" w:cs="宋体"/>
                <w:kern w:val="0"/>
                <w:szCs w:val="21"/>
              </w:rPr>
              <w:t>金黄色葡萄球菌</w:t>
            </w:r>
          </w:p>
        </w:tc>
        <w:tc>
          <w:tcPr>
            <w:tcW w:w="2707" w:type="dxa"/>
            <w:tcMar>
              <w:left w:w="57" w:type="dxa"/>
              <w:right w:w="57" w:type="dxa"/>
            </w:tcMar>
          </w:tcPr>
          <w:p w14:paraId="118C8312">
            <w:pPr>
              <w:pStyle w:val="6"/>
              <w:spacing w:line="300" w:lineRule="exact"/>
              <w:jc w:val="center"/>
              <w:rPr>
                <w:rFonts w:ascii="Times New Roman" w:hAnsi="Times New Roman"/>
                <w:bCs/>
                <w:sz w:val="21"/>
                <w:szCs w:val="21"/>
              </w:rPr>
            </w:pPr>
            <w:r>
              <w:rPr>
                <w:rFonts w:ascii="Times New Roman" w:hAnsi="Times New Roman"/>
                <w:bCs/>
                <w:sz w:val="21"/>
                <w:szCs w:val="21"/>
              </w:rPr>
              <w:t>GB/T 27728.1—2024</w:t>
            </w:r>
          </w:p>
          <w:p w14:paraId="30B9AF87">
            <w:pPr>
              <w:pStyle w:val="6"/>
              <w:spacing w:line="300" w:lineRule="exact"/>
              <w:jc w:val="center"/>
              <w:rPr>
                <w:rFonts w:ascii="Times New Roman" w:hAnsi="Times New Roman"/>
                <w:bCs/>
                <w:sz w:val="21"/>
                <w:szCs w:val="21"/>
              </w:rPr>
            </w:pPr>
            <w:r>
              <w:rPr>
                <w:rFonts w:ascii="Times New Roman" w:hAnsi="Times New Roman"/>
                <w:bCs/>
                <w:sz w:val="21"/>
                <w:szCs w:val="21"/>
              </w:rPr>
              <w:t>GB/T 27728.</w:t>
            </w:r>
            <w:r>
              <w:rPr>
                <w:rFonts w:hint="eastAsia" w:ascii="Times New Roman" w:hAnsi="Times New Roman"/>
                <w:bCs/>
                <w:sz w:val="21"/>
                <w:szCs w:val="21"/>
              </w:rPr>
              <w:t>2</w:t>
            </w:r>
            <w:r>
              <w:rPr>
                <w:rFonts w:ascii="Times New Roman" w:hAnsi="Times New Roman"/>
                <w:bCs/>
                <w:sz w:val="21"/>
                <w:szCs w:val="21"/>
              </w:rPr>
              <w:t>—2024</w:t>
            </w:r>
          </w:p>
          <w:p w14:paraId="05B4F4F0">
            <w:pPr>
              <w:pStyle w:val="6"/>
              <w:spacing w:line="300" w:lineRule="exact"/>
              <w:jc w:val="center"/>
              <w:rPr>
                <w:rFonts w:ascii="Times New Roman" w:hAnsi="Times New Roman"/>
                <w:bCs/>
                <w:sz w:val="21"/>
                <w:szCs w:val="21"/>
              </w:rPr>
            </w:pPr>
            <w:r>
              <w:rPr>
                <w:rFonts w:ascii="Times New Roman" w:hAnsi="Times New Roman"/>
                <w:bCs/>
                <w:sz w:val="21"/>
                <w:szCs w:val="21"/>
              </w:rPr>
              <w:t>GB</w:t>
            </w:r>
            <w:r>
              <w:rPr>
                <w:rFonts w:hint="eastAsia" w:ascii="Times New Roman" w:hAnsi="Times New Roman"/>
                <w:bCs/>
                <w:sz w:val="21"/>
                <w:szCs w:val="21"/>
                <w:lang w:val="en-US" w:eastAsia="zh-CN"/>
              </w:rPr>
              <w:t xml:space="preserve"> </w:t>
            </w:r>
            <w:r>
              <w:rPr>
                <w:rFonts w:ascii="Times New Roman" w:hAnsi="Times New Roman"/>
                <w:bCs/>
                <w:sz w:val="21"/>
                <w:szCs w:val="21"/>
              </w:rPr>
              <w:t>15979—2024</w:t>
            </w:r>
          </w:p>
        </w:tc>
        <w:tc>
          <w:tcPr>
            <w:tcW w:w="2707" w:type="dxa"/>
            <w:tcMar>
              <w:left w:w="57" w:type="dxa"/>
              <w:right w:w="57" w:type="dxa"/>
            </w:tcMar>
            <w:vAlign w:val="center"/>
          </w:tcPr>
          <w:p w14:paraId="0A253FD5">
            <w:pPr>
              <w:pStyle w:val="6"/>
              <w:spacing w:line="300" w:lineRule="exact"/>
              <w:jc w:val="center"/>
              <w:rPr>
                <w:rFonts w:ascii="Times New Roman" w:hAnsi="Times New Roman"/>
                <w:bCs/>
                <w:sz w:val="21"/>
                <w:szCs w:val="21"/>
              </w:rPr>
            </w:pPr>
            <w:r>
              <w:rPr>
                <w:rFonts w:ascii="Times New Roman" w:hAnsi="Times New Roman"/>
                <w:bCs/>
                <w:sz w:val="21"/>
                <w:szCs w:val="21"/>
              </w:rPr>
              <w:t>GB</w:t>
            </w:r>
            <w:r>
              <w:rPr>
                <w:rFonts w:hint="eastAsia" w:ascii="Times New Roman" w:hAnsi="Times New Roman"/>
                <w:bCs/>
                <w:sz w:val="21"/>
                <w:szCs w:val="21"/>
                <w:lang w:val="en-US" w:eastAsia="zh-CN"/>
              </w:rPr>
              <w:t xml:space="preserve"> </w:t>
            </w:r>
            <w:r>
              <w:rPr>
                <w:rFonts w:ascii="Times New Roman" w:hAnsi="Times New Roman"/>
                <w:bCs/>
                <w:sz w:val="21"/>
                <w:szCs w:val="21"/>
              </w:rPr>
              <w:t>15979—2024</w:t>
            </w:r>
          </w:p>
        </w:tc>
      </w:tr>
      <w:tr w14:paraId="213B5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714" w:type="dxa"/>
            <w:tcMar>
              <w:left w:w="57" w:type="dxa"/>
              <w:right w:w="57" w:type="dxa"/>
            </w:tcMar>
            <w:vAlign w:val="center"/>
          </w:tcPr>
          <w:p w14:paraId="1DAA1823">
            <w:pPr>
              <w:numPr>
                <w:ilvl w:val="0"/>
                <w:numId w:val="1"/>
              </w:numPr>
              <w:jc w:val="center"/>
              <w:rPr>
                <w:rFonts w:ascii="Times New Roman" w:hAnsi="Times New Roman"/>
              </w:rPr>
            </w:pPr>
          </w:p>
        </w:tc>
        <w:tc>
          <w:tcPr>
            <w:tcW w:w="2706" w:type="dxa"/>
            <w:tcMar>
              <w:left w:w="57" w:type="dxa"/>
              <w:right w:w="57" w:type="dxa"/>
            </w:tcMar>
            <w:vAlign w:val="center"/>
          </w:tcPr>
          <w:p w14:paraId="216CC278">
            <w:pPr>
              <w:jc w:val="center"/>
              <w:rPr>
                <w:rFonts w:ascii="Times New Roman" w:hAnsi="Times New Roman"/>
                <w:bCs/>
                <w:color w:val="EE0000"/>
                <w:kern w:val="0"/>
                <w:szCs w:val="21"/>
                <w:highlight w:val="yellow"/>
              </w:rPr>
            </w:pPr>
            <w:r>
              <w:rPr>
                <w:rFonts w:hint="eastAsia" w:ascii="宋体" w:hAnsi="宋体" w:cs="宋体"/>
                <w:kern w:val="0"/>
                <w:szCs w:val="21"/>
              </w:rPr>
              <w:t>溶血性链球菌</w:t>
            </w:r>
          </w:p>
        </w:tc>
        <w:tc>
          <w:tcPr>
            <w:tcW w:w="2707" w:type="dxa"/>
            <w:tcMar>
              <w:left w:w="57" w:type="dxa"/>
              <w:right w:w="57" w:type="dxa"/>
            </w:tcMar>
          </w:tcPr>
          <w:p w14:paraId="62AF3A77">
            <w:pPr>
              <w:pStyle w:val="6"/>
              <w:spacing w:line="300" w:lineRule="exact"/>
              <w:jc w:val="center"/>
              <w:rPr>
                <w:rFonts w:ascii="Times New Roman" w:hAnsi="Times New Roman"/>
                <w:bCs/>
                <w:sz w:val="21"/>
                <w:szCs w:val="21"/>
              </w:rPr>
            </w:pPr>
            <w:r>
              <w:rPr>
                <w:rFonts w:ascii="Times New Roman" w:hAnsi="Times New Roman"/>
                <w:bCs/>
                <w:sz w:val="21"/>
                <w:szCs w:val="21"/>
              </w:rPr>
              <w:t>GB/T 27728.1—2024</w:t>
            </w:r>
          </w:p>
          <w:p w14:paraId="7324CFBA">
            <w:pPr>
              <w:pStyle w:val="6"/>
              <w:spacing w:line="300" w:lineRule="exact"/>
              <w:jc w:val="center"/>
              <w:rPr>
                <w:rFonts w:ascii="Times New Roman" w:hAnsi="Times New Roman"/>
                <w:bCs/>
                <w:sz w:val="21"/>
                <w:szCs w:val="21"/>
              </w:rPr>
            </w:pPr>
            <w:r>
              <w:rPr>
                <w:rFonts w:ascii="Times New Roman" w:hAnsi="Times New Roman"/>
                <w:bCs/>
                <w:sz w:val="21"/>
                <w:szCs w:val="21"/>
              </w:rPr>
              <w:t>GB/T 27728.</w:t>
            </w:r>
            <w:r>
              <w:rPr>
                <w:rFonts w:hint="eastAsia" w:ascii="Times New Roman" w:hAnsi="Times New Roman"/>
                <w:bCs/>
                <w:sz w:val="21"/>
                <w:szCs w:val="21"/>
              </w:rPr>
              <w:t>2</w:t>
            </w:r>
            <w:r>
              <w:rPr>
                <w:rFonts w:ascii="Times New Roman" w:hAnsi="Times New Roman"/>
                <w:bCs/>
                <w:sz w:val="21"/>
                <w:szCs w:val="21"/>
              </w:rPr>
              <w:t>—2024</w:t>
            </w:r>
          </w:p>
          <w:p w14:paraId="646D4192">
            <w:pPr>
              <w:pStyle w:val="6"/>
              <w:spacing w:line="300" w:lineRule="exact"/>
              <w:jc w:val="center"/>
              <w:rPr>
                <w:rFonts w:ascii="Times New Roman" w:hAnsi="Times New Roman"/>
                <w:bCs/>
                <w:sz w:val="21"/>
                <w:szCs w:val="21"/>
              </w:rPr>
            </w:pPr>
            <w:r>
              <w:rPr>
                <w:rFonts w:ascii="Times New Roman" w:hAnsi="Times New Roman"/>
                <w:bCs/>
                <w:sz w:val="21"/>
                <w:szCs w:val="21"/>
              </w:rPr>
              <w:t>GB</w:t>
            </w:r>
            <w:r>
              <w:rPr>
                <w:rFonts w:hint="eastAsia" w:ascii="Times New Roman" w:hAnsi="Times New Roman"/>
                <w:bCs/>
                <w:sz w:val="21"/>
                <w:szCs w:val="21"/>
                <w:lang w:val="en-US" w:eastAsia="zh-CN"/>
              </w:rPr>
              <w:t xml:space="preserve"> </w:t>
            </w:r>
            <w:r>
              <w:rPr>
                <w:rFonts w:ascii="Times New Roman" w:hAnsi="Times New Roman"/>
                <w:bCs/>
                <w:sz w:val="21"/>
                <w:szCs w:val="21"/>
              </w:rPr>
              <w:t>15979—2024</w:t>
            </w:r>
          </w:p>
        </w:tc>
        <w:tc>
          <w:tcPr>
            <w:tcW w:w="2707" w:type="dxa"/>
            <w:tcMar>
              <w:left w:w="57" w:type="dxa"/>
              <w:right w:w="57" w:type="dxa"/>
            </w:tcMar>
            <w:vAlign w:val="center"/>
          </w:tcPr>
          <w:p w14:paraId="4E795EEC">
            <w:pPr>
              <w:pStyle w:val="6"/>
              <w:spacing w:line="300" w:lineRule="exact"/>
              <w:jc w:val="center"/>
              <w:rPr>
                <w:rFonts w:ascii="Times New Roman" w:hAnsi="Times New Roman"/>
                <w:bCs/>
                <w:sz w:val="21"/>
                <w:szCs w:val="21"/>
              </w:rPr>
            </w:pPr>
            <w:r>
              <w:rPr>
                <w:rFonts w:ascii="Times New Roman" w:hAnsi="Times New Roman"/>
                <w:bCs/>
                <w:sz w:val="21"/>
                <w:szCs w:val="21"/>
              </w:rPr>
              <w:t>GB</w:t>
            </w:r>
            <w:r>
              <w:rPr>
                <w:rFonts w:hint="eastAsia" w:ascii="Times New Roman" w:hAnsi="Times New Roman"/>
                <w:bCs/>
                <w:sz w:val="21"/>
                <w:szCs w:val="21"/>
                <w:lang w:val="en-US" w:eastAsia="zh-CN"/>
              </w:rPr>
              <w:t xml:space="preserve"> </w:t>
            </w:r>
            <w:r>
              <w:rPr>
                <w:rFonts w:ascii="Times New Roman" w:hAnsi="Times New Roman"/>
                <w:bCs/>
                <w:sz w:val="21"/>
                <w:szCs w:val="21"/>
              </w:rPr>
              <w:t>15979—2024</w:t>
            </w:r>
          </w:p>
        </w:tc>
      </w:tr>
      <w:tr w14:paraId="10858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714" w:type="dxa"/>
            <w:tcMar>
              <w:left w:w="57" w:type="dxa"/>
              <w:right w:w="57" w:type="dxa"/>
            </w:tcMar>
            <w:vAlign w:val="center"/>
          </w:tcPr>
          <w:p w14:paraId="5A6BD7E7">
            <w:pPr>
              <w:numPr>
                <w:ilvl w:val="0"/>
                <w:numId w:val="1"/>
              </w:numPr>
              <w:jc w:val="center"/>
              <w:rPr>
                <w:rFonts w:ascii="Times New Roman" w:hAnsi="Times New Roman"/>
              </w:rPr>
            </w:pPr>
          </w:p>
        </w:tc>
        <w:tc>
          <w:tcPr>
            <w:tcW w:w="2706" w:type="dxa"/>
            <w:tcMar>
              <w:left w:w="57" w:type="dxa"/>
              <w:right w:w="57" w:type="dxa"/>
            </w:tcMar>
            <w:vAlign w:val="center"/>
          </w:tcPr>
          <w:p w14:paraId="7646AE41">
            <w:pPr>
              <w:jc w:val="center"/>
              <w:rPr>
                <w:rFonts w:ascii="Times New Roman" w:hAnsi="Times New Roman"/>
                <w:bCs/>
                <w:kern w:val="0"/>
                <w:szCs w:val="21"/>
              </w:rPr>
            </w:pPr>
            <w:r>
              <w:rPr>
                <w:rFonts w:ascii="Times New Roman" w:hAnsi="Times New Roman"/>
                <w:bCs/>
                <w:kern w:val="0"/>
                <w:szCs w:val="21"/>
              </w:rPr>
              <w:t>真菌菌落总数</w:t>
            </w:r>
          </w:p>
        </w:tc>
        <w:tc>
          <w:tcPr>
            <w:tcW w:w="2707" w:type="dxa"/>
            <w:tcMar>
              <w:left w:w="57" w:type="dxa"/>
              <w:right w:w="57" w:type="dxa"/>
            </w:tcMar>
          </w:tcPr>
          <w:p w14:paraId="4AF5442C">
            <w:pPr>
              <w:pStyle w:val="6"/>
              <w:spacing w:line="300" w:lineRule="exact"/>
              <w:jc w:val="center"/>
              <w:rPr>
                <w:rFonts w:ascii="Times New Roman" w:hAnsi="Times New Roman"/>
                <w:bCs/>
                <w:sz w:val="21"/>
                <w:szCs w:val="21"/>
              </w:rPr>
            </w:pPr>
            <w:r>
              <w:rPr>
                <w:rFonts w:ascii="Times New Roman" w:hAnsi="Times New Roman"/>
                <w:bCs/>
                <w:sz w:val="21"/>
                <w:szCs w:val="21"/>
              </w:rPr>
              <w:t>GB/T 27728.1—2024</w:t>
            </w:r>
          </w:p>
          <w:p w14:paraId="009A10EB">
            <w:pPr>
              <w:pStyle w:val="6"/>
              <w:spacing w:line="300" w:lineRule="exact"/>
              <w:jc w:val="center"/>
              <w:rPr>
                <w:rFonts w:ascii="Times New Roman" w:hAnsi="Times New Roman"/>
                <w:bCs/>
                <w:sz w:val="21"/>
                <w:szCs w:val="21"/>
              </w:rPr>
            </w:pPr>
            <w:r>
              <w:rPr>
                <w:rFonts w:ascii="Times New Roman" w:hAnsi="Times New Roman"/>
                <w:bCs/>
                <w:sz w:val="21"/>
                <w:szCs w:val="21"/>
              </w:rPr>
              <w:t>GB/T 27728.</w:t>
            </w:r>
            <w:r>
              <w:rPr>
                <w:rFonts w:hint="eastAsia" w:ascii="Times New Roman" w:hAnsi="Times New Roman"/>
                <w:bCs/>
                <w:sz w:val="21"/>
                <w:szCs w:val="21"/>
              </w:rPr>
              <w:t>2</w:t>
            </w:r>
            <w:r>
              <w:rPr>
                <w:rFonts w:ascii="Times New Roman" w:hAnsi="Times New Roman"/>
                <w:bCs/>
                <w:sz w:val="21"/>
                <w:szCs w:val="21"/>
              </w:rPr>
              <w:t>—2024</w:t>
            </w:r>
          </w:p>
          <w:p w14:paraId="1097DEB0">
            <w:pPr>
              <w:pStyle w:val="6"/>
              <w:spacing w:line="300" w:lineRule="exact"/>
              <w:jc w:val="center"/>
              <w:rPr>
                <w:rFonts w:ascii="Times New Roman" w:hAnsi="Times New Roman"/>
                <w:bCs/>
                <w:sz w:val="21"/>
                <w:szCs w:val="21"/>
              </w:rPr>
            </w:pPr>
            <w:r>
              <w:rPr>
                <w:rFonts w:ascii="Times New Roman" w:hAnsi="Times New Roman"/>
                <w:bCs/>
                <w:sz w:val="21"/>
                <w:szCs w:val="21"/>
              </w:rPr>
              <w:t>GB</w:t>
            </w:r>
            <w:r>
              <w:rPr>
                <w:rFonts w:hint="eastAsia" w:ascii="Times New Roman" w:hAnsi="Times New Roman"/>
                <w:bCs/>
                <w:sz w:val="21"/>
                <w:szCs w:val="21"/>
                <w:lang w:val="en-US" w:eastAsia="zh-CN"/>
              </w:rPr>
              <w:t xml:space="preserve"> </w:t>
            </w:r>
            <w:r>
              <w:rPr>
                <w:rFonts w:ascii="Times New Roman" w:hAnsi="Times New Roman"/>
                <w:bCs/>
                <w:sz w:val="21"/>
                <w:szCs w:val="21"/>
              </w:rPr>
              <w:t>15979—2024</w:t>
            </w:r>
          </w:p>
        </w:tc>
        <w:tc>
          <w:tcPr>
            <w:tcW w:w="2707" w:type="dxa"/>
            <w:tcMar>
              <w:left w:w="57" w:type="dxa"/>
              <w:right w:w="57" w:type="dxa"/>
            </w:tcMar>
            <w:vAlign w:val="center"/>
          </w:tcPr>
          <w:p w14:paraId="2D46CF25">
            <w:pPr>
              <w:pStyle w:val="6"/>
              <w:spacing w:line="300" w:lineRule="exact"/>
              <w:jc w:val="center"/>
              <w:rPr>
                <w:rFonts w:ascii="Times New Roman" w:hAnsi="Times New Roman"/>
                <w:bCs/>
                <w:sz w:val="21"/>
                <w:szCs w:val="21"/>
              </w:rPr>
            </w:pPr>
            <w:r>
              <w:rPr>
                <w:rFonts w:ascii="Times New Roman" w:hAnsi="Times New Roman"/>
                <w:bCs/>
                <w:sz w:val="21"/>
                <w:szCs w:val="21"/>
              </w:rPr>
              <w:t>GB</w:t>
            </w:r>
            <w:r>
              <w:rPr>
                <w:rFonts w:hint="eastAsia" w:ascii="Times New Roman" w:hAnsi="Times New Roman"/>
                <w:bCs/>
                <w:sz w:val="21"/>
                <w:szCs w:val="21"/>
                <w:lang w:val="en-US" w:eastAsia="zh-CN"/>
              </w:rPr>
              <w:t xml:space="preserve"> </w:t>
            </w:r>
            <w:r>
              <w:rPr>
                <w:rFonts w:ascii="Times New Roman" w:hAnsi="Times New Roman"/>
                <w:bCs/>
                <w:sz w:val="21"/>
                <w:szCs w:val="21"/>
              </w:rPr>
              <w:t>15979—2024</w:t>
            </w:r>
          </w:p>
        </w:tc>
      </w:tr>
      <w:tr w14:paraId="30F44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7" w:hRule="atLeast"/>
          <w:jc w:val="center"/>
        </w:trPr>
        <w:tc>
          <w:tcPr>
            <w:tcW w:w="8834" w:type="dxa"/>
            <w:gridSpan w:val="4"/>
            <w:tcMar>
              <w:left w:w="57" w:type="dxa"/>
              <w:right w:w="57" w:type="dxa"/>
            </w:tcMar>
            <w:vAlign w:val="center"/>
          </w:tcPr>
          <w:p w14:paraId="1DD5DFB7">
            <w:pPr>
              <w:pStyle w:val="6"/>
              <w:spacing w:line="300" w:lineRule="exact"/>
              <w:rPr>
                <w:rFonts w:ascii="Times New Roman" w:hAnsi="Times New Roman"/>
                <w:bCs/>
                <w:sz w:val="21"/>
                <w:szCs w:val="21"/>
              </w:rPr>
            </w:pPr>
            <w:r>
              <w:rPr>
                <w:rFonts w:hint="eastAsia" w:ascii="Times New Roman" w:hAnsi="Times New Roman"/>
                <w:bCs/>
                <w:sz w:val="21"/>
                <w:szCs w:val="21"/>
              </w:rPr>
              <w:t>注：</w:t>
            </w:r>
            <w:r>
              <w:rPr>
                <w:rFonts w:ascii="Times New Roman" w:hAnsi="Times New Roman"/>
                <w:bCs/>
                <w:sz w:val="21"/>
                <w:szCs w:val="21"/>
              </w:rPr>
              <w:t>依据卫健委“卫监督发[2005]515号”《健康相关产品国家卫生监督抽检规定》第十九条“产品微生物指标超标的不予复检”的规定，微生物学指标（第</w:t>
            </w:r>
            <w:r>
              <w:rPr>
                <w:rFonts w:hint="eastAsia" w:ascii="Times New Roman" w:hAnsi="Times New Roman"/>
                <w:bCs/>
                <w:sz w:val="21"/>
                <w:szCs w:val="21"/>
              </w:rPr>
              <w:t>8-13</w:t>
            </w:r>
            <w:r>
              <w:rPr>
                <w:rFonts w:ascii="Times New Roman" w:hAnsi="Times New Roman"/>
                <w:bCs/>
                <w:sz w:val="21"/>
                <w:szCs w:val="21"/>
              </w:rPr>
              <w:t>项）不合格不复检。</w:t>
            </w:r>
          </w:p>
        </w:tc>
      </w:tr>
    </w:tbl>
    <w:p w14:paraId="701B1911">
      <w:pPr>
        <w:snapToGrid w:val="0"/>
        <w:spacing w:line="240" w:lineRule="auto"/>
        <w:ind w:firstLine="420" w:firstLineChars="200"/>
        <w:rPr>
          <w:rFonts w:ascii="Times New Roman" w:hAnsi="Times New Roman"/>
          <w:color w:val="000000"/>
          <w:szCs w:val="21"/>
        </w:rPr>
      </w:pPr>
    </w:p>
    <w:p w14:paraId="27FFD6D5">
      <w:pPr>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执行企业标准、团体标准、地方标准的产品，检验项目参照上述内容执行。</w:t>
      </w:r>
    </w:p>
    <w:p w14:paraId="1CE17A3B">
      <w:pPr>
        <w:snapToGrid w:val="0"/>
        <w:spacing w:line="440" w:lineRule="exact"/>
        <w:ind w:firstLine="420" w:firstLineChars="200"/>
        <w:rPr>
          <w:rFonts w:ascii="Times New Roman" w:hAnsi="Times New Roman"/>
          <w:color w:val="000000"/>
          <w:szCs w:val="21"/>
        </w:rPr>
      </w:pPr>
      <w:r>
        <w:rPr>
          <w:rFonts w:ascii="Times New Roman" w:hAnsi="Times New Roman"/>
          <w:color w:val="000000"/>
          <w:szCs w:val="21"/>
        </w:rPr>
        <w:t>凡是注日期的文件，其随后所有的修改单（不包括勘误的内容）或修订版不适用于本细则。凡是不注日期的文件，其最新版本适用于本细则。</w:t>
      </w:r>
    </w:p>
    <w:p w14:paraId="111ADC8A">
      <w:pPr>
        <w:spacing w:line="240" w:lineRule="auto"/>
        <w:rPr>
          <w:rFonts w:ascii="Times New Roman" w:hAnsi="Times New Roman" w:eastAsia="黑体"/>
          <w:color w:val="000000"/>
          <w:szCs w:val="21"/>
        </w:rPr>
      </w:pPr>
    </w:p>
    <w:p w14:paraId="4E8B48F6">
      <w:pPr>
        <w:spacing w:line="440" w:lineRule="exact"/>
        <w:rPr>
          <w:rFonts w:ascii="Times New Roman" w:hAnsi="Times New Roman" w:eastAsia="黑体"/>
          <w:color w:val="000000"/>
          <w:szCs w:val="21"/>
        </w:rPr>
      </w:pPr>
      <w:r>
        <w:rPr>
          <w:rFonts w:ascii="Times New Roman" w:hAnsi="Times New Roman" w:eastAsia="黑体"/>
          <w:color w:val="000000"/>
          <w:szCs w:val="21"/>
        </w:rPr>
        <w:t>3 判定规则</w:t>
      </w:r>
    </w:p>
    <w:p w14:paraId="507AF35C">
      <w:pPr>
        <w:snapToGrid w:val="0"/>
        <w:spacing w:line="440" w:lineRule="exact"/>
        <w:rPr>
          <w:rFonts w:ascii="Times New Roman" w:hAnsi="Times New Roman"/>
          <w:color w:val="000000"/>
          <w:szCs w:val="21"/>
        </w:rPr>
      </w:pPr>
      <w:r>
        <w:rPr>
          <w:rFonts w:ascii="Times New Roman" w:hAnsi="Times New Roman"/>
          <w:color w:val="000000"/>
          <w:szCs w:val="21"/>
        </w:rPr>
        <w:t>3.1依据标准</w:t>
      </w:r>
    </w:p>
    <w:p w14:paraId="7B6CBF8D">
      <w:pPr>
        <w:snapToGrid w:val="0"/>
        <w:spacing w:line="360" w:lineRule="auto"/>
        <w:ind w:firstLine="420" w:firstLineChars="200"/>
        <w:rPr>
          <w:rFonts w:ascii="Times New Roman" w:hAnsi="Times New Roman"/>
          <w:bCs/>
          <w:szCs w:val="21"/>
        </w:rPr>
      </w:pPr>
      <w:r>
        <w:rPr>
          <w:rFonts w:ascii="Times New Roman" w:hAnsi="Times New Roman"/>
          <w:bCs/>
          <w:szCs w:val="21"/>
        </w:rPr>
        <w:t>GB/T 27728.1—2024 湿巾及类似用途产品 第1部分：通用要求</w:t>
      </w:r>
    </w:p>
    <w:p w14:paraId="2472D590">
      <w:pPr>
        <w:snapToGrid w:val="0"/>
        <w:spacing w:line="360" w:lineRule="auto"/>
        <w:ind w:firstLine="420" w:firstLineChars="200"/>
        <w:rPr>
          <w:rFonts w:ascii="Times New Roman" w:hAnsi="Times New Roman"/>
          <w:bCs/>
          <w:szCs w:val="21"/>
        </w:rPr>
      </w:pPr>
      <w:r>
        <w:rPr>
          <w:rFonts w:ascii="Times New Roman" w:hAnsi="Times New Roman"/>
          <w:bCs/>
          <w:szCs w:val="21"/>
        </w:rPr>
        <w:t>GB/T 27728.</w:t>
      </w:r>
      <w:r>
        <w:rPr>
          <w:rFonts w:hint="eastAsia" w:ascii="Times New Roman" w:hAnsi="Times New Roman"/>
          <w:bCs/>
          <w:szCs w:val="21"/>
        </w:rPr>
        <w:t>2</w:t>
      </w:r>
      <w:r>
        <w:rPr>
          <w:rFonts w:ascii="Times New Roman" w:hAnsi="Times New Roman"/>
          <w:bCs/>
          <w:szCs w:val="21"/>
        </w:rPr>
        <w:t>—2024</w:t>
      </w:r>
      <w:r>
        <w:rPr>
          <w:rFonts w:hint="eastAsia" w:ascii="Times New Roman" w:hAnsi="Times New Roman"/>
          <w:bCs/>
          <w:szCs w:val="21"/>
        </w:rPr>
        <w:t xml:space="preserve"> </w:t>
      </w:r>
      <w:r>
        <w:rPr>
          <w:rFonts w:ascii="Times New Roman" w:hAnsi="Times New Roman"/>
          <w:bCs/>
          <w:szCs w:val="21"/>
        </w:rPr>
        <w:t>湿巾及类似用途产品 第</w:t>
      </w:r>
      <w:r>
        <w:rPr>
          <w:rFonts w:hint="eastAsia" w:ascii="Times New Roman" w:hAnsi="Times New Roman"/>
          <w:bCs/>
          <w:szCs w:val="21"/>
        </w:rPr>
        <w:t>2</w:t>
      </w:r>
      <w:r>
        <w:rPr>
          <w:rFonts w:ascii="Times New Roman" w:hAnsi="Times New Roman"/>
          <w:bCs/>
          <w:szCs w:val="21"/>
        </w:rPr>
        <w:t>部分：</w:t>
      </w:r>
      <w:r>
        <w:rPr>
          <w:rFonts w:hint="eastAsia" w:ascii="Times New Roman" w:hAnsi="Times New Roman"/>
          <w:bCs/>
          <w:szCs w:val="21"/>
        </w:rPr>
        <w:t>婴童湿巾专用要求</w:t>
      </w:r>
    </w:p>
    <w:p w14:paraId="69E7A98A">
      <w:pPr>
        <w:pStyle w:val="6"/>
        <w:tabs>
          <w:tab w:val="left" w:pos="6615"/>
        </w:tabs>
        <w:adjustRightInd w:val="0"/>
        <w:snapToGrid w:val="0"/>
        <w:spacing w:line="360" w:lineRule="auto"/>
        <w:ind w:firstLine="420" w:firstLineChars="200"/>
        <w:rPr>
          <w:rFonts w:ascii="Times New Roman" w:hAnsi="Times New Roman"/>
          <w:bCs/>
          <w:kern w:val="2"/>
          <w:sz w:val="21"/>
          <w:szCs w:val="21"/>
          <w:lang w:val="en-US"/>
        </w:rPr>
      </w:pPr>
      <w:r>
        <w:rPr>
          <w:rFonts w:hint="eastAsia" w:ascii="Times New Roman" w:hAnsi="Times New Roman"/>
          <w:bCs/>
          <w:kern w:val="2"/>
          <w:sz w:val="21"/>
          <w:szCs w:val="21"/>
          <w:lang w:val="en-US"/>
        </w:rPr>
        <w:t>GB 15979</w:t>
      </w:r>
      <w:r>
        <w:rPr>
          <w:rFonts w:ascii="Times New Roman" w:hAnsi="Times New Roman"/>
          <w:bCs/>
          <w:szCs w:val="21"/>
        </w:rPr>
        <w:t>—</w:t>
      </w:r>
      <w:r>
        <w:rPr>
          <w:rFonts w:hint="eastAsia" w:ascii="Times New Roman" w:hAnsi="Times New Roman"/>
          <w:bCs/>
          <w:kern w:val="2"/>
          <w:sz w:val="21"/>
          <w:szCs w:val="21"/>
          <w:lang w:val="en-US"/>
        </w:rPr>
        <w:t>2024 一次性使用卫生用品卫生要求</w:t>
      </w:r>
    </w:p>
    <w:p w14:paraId="363364EF">
      <w:pPr>
        <w:snapToGrid w:val="0"/>
        <w:spacing w:line="360" w:lineRule="auto"/>
        <w:ind w:firstLine="420" w:firstLineChars="200"/>
        <w:rPr>
          <w:rFonts w:ascii="Times New Roman" w:hAnsi="Times New Roman"/>
          <w:bCs/>
          <w:szCs w:val="21"/>
        </w:rPr>
      </w:pPr>
      <w:r>
        <w:rPr>
          <w:rFonts w:ascii="Times New Roman" w:hAnsi="Times New Roman"/>
          <w:bCs/>
          <w:szCs w:val="21"/>
        </w:rPr>
        <w:t>现行有效的企业标准、团体标准、地方标准及产品明示质量要求</w:t>
      </w:r>
    </w:p>
    <w:p w14:paraId="52D4462E">
      <w:pPr>
        <w:snapToGrid w:val="0"/>
        <w:spacing w:line="440" w:lineRule="exact"/>
        <w:rPr>
          <w:rFonts w:ascii="Times New Roman" w:hAnsi="Times New Roman"/>
          <w:color w:val="000000"/>
          <w:szCs w:val="21"/>
        </w:rPr>
      </w:pPr>
      <w:r>
        <w:rPr>
          <w:rFonts w:ascii="Times New Roman" w:hAnsi="Times New Roman"/>
          <w:color w:val="000000"/>
          <w:szCs w:val="21"/>
        </w:rPr>
        <w:t>3.2判定原则</w:t>
      </w:r>
    </w:p>
    <w:p w14:paraId="34952A3A">
      <w:pPr>
        <w:snapToGrid w:val="0"/>
        <w:spacing w:line="440" w:lineRule="exact"/>
        <w:ind w:firstLine="420" w:firstLineChars="200"/>
        <w:rPr>
          <w:szCs w:val="21"/>
        </w:rPr>
      </w:pPr>
      <w:r>
        <w:rPr>
          <w:szCs w:val="21"/>
        </w:rPr>
        <w:t>经检验，检验项目全部合格，判定为被抽查产品所检项目未发现不合格；检验项目中任一项或一项以上不合格，判定为被抽查产品不合格。</w:t>
      </w:r>
    </w:p>
    <w:p w14:paraId="5981D2E7">
      <w:pPr>
        <w:snapToGrid w:val="0"/>
        <w:spacing w:line="440" w:lineRule="exact"/>
        <w:ind w:firstLine="417" w:firstLineChars="199"/>
        <w:rPr>
          <w:szCs w:val="21"/>
        </w:rPr>
      </w:pPr>
      <w:r>
        <w:rPr>
          <w:szCs w:val="21"/>
        </w:rPr>
        <w:t>若被检产品明示的质量要求高于本细则中检验项目依据的标准要求时，应按被检产品明示的质量要求判定。</w:t>
      </w:r>
    </w:p>
    <w:p w14:paraId="6484CDF8">
      <w:pPr>
        <w:snapToGrid w:val="0"/>
        <w:spacing w:line="440" w:lineRule="exact"/>
        <w:ind w:firstLine="417" w:firstLineChars="199"/>
        <w:rPr>
          <w:szCs w:val="21"/>
        </w:rPr>
      </w:pPr>
      <w:r>
        <w:rPr>
          <w:szCs w:val="21"/>
        </w:rPr>
        <w:t>若被检产品明示的质量要求低于本细则中检验项目依据的强制性标准要求时，应按照强制性标准要求判定。</w:t>
      </w:r>
    </w:p>
    <w:p w14:paraId="55DE8C11">
      <w:pPr>
        <w:snapToGrid w:val="0"/>
        <w:spacing w:line="440" w:lineRule="exact"/>
        <w:ind w:firstLine="417" w:firstLineChars="199"/>
        <w:rPr>
          <w:szCs w:val="21"/>
        </w:rPr>
      </w:pPr>
      <w:r>
        <w:rPr>
          <w:szCs w:val="21"/>
        </w:rPr>
        <w:t>若被检产品明示的质量要求低于或包含本细则中检验项目依据的推荐性标准要求时，应以被检产品明示的质量要求判定。</w:t>
      </w:r>
    </w:p>
    <w:p w14:paraId="55B0545F">
      <w:pPr>
        <w:snapToGrid w:val="0"/>
        <w:spacing w:line="440" w:lineRule="exact"/>
        <w:ind w:firstLine="417" w:firstLineChars="199"/>
        <w:rPr>
          <w:szCs w:val="21"/>
        </w:rPr>
      </w:pPr>
      <w:r>
        <w:rPr>
          <w:szCs w:val="21"/>
        </w:rPr>
        <w:t>若被检产品明示的质量要求缺少本细则中检验项目依据的强制性标准要求时，应按照强制性标准要求判定。</w:t>
      </w:r>
    </w:p>
    <w:p w14:paraId="68A1A570">
      <w:pPr>
        <w:snapToGrid w:val="0"/>
        <w:spacing w:line="440" w:lineRule="exact"/>
        <w:ind w:firstLine="417" w:firstLineChars="199"/>
        <w:rPr>
          <w:szCs w:val="21"/>
        </w:rPr>
      </w:pPr>
      <w:r>
        <w:rPr>
          <w:szCs w:val="21"/>
        </w:rPr>
        <w:t>若被检产品明示的质量要求缺少本细则中检验项目依据的推荐性标准要求时，该项目不参与判定。</w:t>
      </w:r>
    </w:p>
    <w:p w14:paraId="1C54AD3B">
      <w:pPr>
        <w:snapToGrid w:val="0"/>
        <w:spacing w:line="440" w:lineRule="exact"/>
        <w:ind w:firstLine="420" w:firstLineChars="200"/>
        <w:rPr>
          <w:rFonts w:ascii="Times New Roman" w:hAnsi="Times New Roman"/>
          <w:color w:val="000000"/>
          <w:szCs w:val="21"/>
        </w:rPr>
      </w:pPr>
    </w:p>
    <w:sectPr>
      <w:headerReference r:id="rId3" w:type="default"/>
      <w:footerReference r:id="rId4" w:type="default"/>
      <w:pgSz w:w="11906" w:h="16838"/>
      <w:pgMar w:top="2098" w:right="1474" w:bottom="1985"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小标宋简体">
    <w:panose1 w:val="02000000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2016B">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131445"/>
              <wp:effectExtent l="0" t="0" r="0" b="0"/>
              <wp:wrapNone/>
              <wp:docPr id="1" name="Quad Arrow 1"/>
              <wp:cNvGraphicFramePr/>
              <a:graphic xmlns:a="http://schemas.openxmlformats.org/drawingml/2006/main">
                <a:graphicData uri="http://schemas.microsoft.com/office/word/2010/wordprocessingShape">
                  <wps:wsp>
                    <wps:cNvSpPr txBox="1">
                      <a:spLocks noChangeArrowheads="1"/>
                    </wps:cNvSpPr>
                    <wps:spPr bwMode="auto">
                      <a:xfrm>
                        <a:off x="0" y="0"/>
                        <a:ext cx="57785" cy="131445"/>
                      </a:xfrm>
                      <a:prstGeom prst="rect">
                        <a:avLst/>
                      </a:prstGeom>
                      <a:noFill/>
                      <a:ln>
                        <a:noFill/>
                      </a:ln>
                    </wps:spPr>
                    <wps:txbx>
                      <w:txbxContent>
                        <w:p w14:paraId="11F95DCC">
                          <w:pPr>
                            <w:snapToGrid w:val="0"/>
                            <w:rPr>
                              <w:rFonts w:ascii="Times New Roman" w:hAnsi="Times New Roman"/>
                              <w:sz w:val="18"/>
                            </w:rPr>
                          </w:pPr>
                          <w:r>
                            <w:rPr>
                              <w:rFonts w:ascii="Times New Roman" w:hAnsi="Times New Roman"/>
                              <w:sz w:val="18"/>
                            </w:rPr>
                            <w:fldChar w:fldCharType="begin"/>
                          </w:r>
                          <w:r>
                            <w:rPr>
                              <w:rFonts w:ascii="Times New Roman" w:hAnsi="Times New Roman"/>
                              <w:sz w:val="18"/>
                            </w:rPr>
                            <w:instrText xml:space="preserve"> PAGE  \* MERGEFORMAT </w:instrText>
                          </w:r>
                          <w:r>
                            <w:rPr>
                              <w:rFonts w:ascii="Times New Roman" w:hAnsi="Times New Roman"/>
                              <w:sz w:val="18"/>
                            </w:rPr>
                            <w:fldChar w:fldCharType="separate"/>
                          </w:r>
                          <w:r>
                            <w:rPr>
                              <w:rFonts w:ascii="Times New Roman" w:hAnsi="Times New Roman"/>
                              <w:sz w:val="18"/>
                            </w:rPr>
                            <w:t>2</w:t>
                          </w:r>
                          <w:r>
                            <w:rPr>
                              <w:rFonts w:ascii="Times New Roman" w:hAnsi="Times New Roman"/>
                              <w:sz w:val="18"/>
                            </w:rPr>
                            <w:fldChar w:fldCharType="end"/>
                          </w:r>
                        </w:p>
                      </w:txbxContent>
                    </wps:txbx>
                    <wps:bodyPr rot="0" vert="horz" wrap="none" lIns="0" tIns="0" rIns="0" bIns="0" anchor="t" anchorCtr="0" upright="1">
                      <a:spAutoFit/>
                    </wps:bodyPr>
                  </wps:wsp>
                </a:graphicData>
              </a:graphic>
            </wp:anchor>
          </w:drawing>
        </mc:Choice>
        <mc:Fallback>
          <w:pict>
            <v:shape id="Quad Arrow 1" o:spid="_x0000_s1026" o:spt="202" type="#_x0000_t202" style="position:absolute;left:0pt;margin-top:0pt;height:10.35pt;width:4.55pt;mso-position-horizontal:center;mso-position-horizontal-relative:margin;mso-wrap-style:none;z-index:251659264;mso-width-relative:page;mso-height-relative:page;" filled="f" stroked="f" coordsize="21600,21600" o:gfxdata="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Pi91E0AAAAAIBAAAPAAAAAAAAAAEAIAAAACIAAABkcnMvZG93bnJldi54bWxQSwECFAAU&#10;AAAACACHTuJAoe0R3PkBAAACBAAADgAAAAAAAAABACAAAAAfAQAAZHJzL2Uyb0RvYy54bWxQSwUG&#10;AAAAAAYABgBZAQAAigUAAAAA&#10;">
              <v:fill on="f" focussize="0,0"/>
              <v:stroke on="f"/>
              <v:imagedata o:title=""/>
              <o:lock v:ext="edit" aspectratio="f"/>
              <v:textbox inset="0mm,0mm,0mm,0mm" style="mso-fit-shape-to-text:t;">
                <w:txbxContent>
                  <w:p w14:paraId="11F95DCC">
                    <w:pPr>
                      <w:snapToGrid w:val="0"/>
                      <w:rPr>
                        <w:rFonts w:ascii="Times New Roman" w:hAnsi="Times New Roman"/>
                        <w:sz w:val="18"/>
                      </w:rPr>
                    </w:pPr>
                    <w:r>
                      <w:rPr>
                        <w:rFonts w:ascii="Times New Roman" w:hAnsi="Times New Roman"/>
                        <w:sz w:val="18"/>
                      </w:rPr>
                      <w:fldChar w:fldCharType="begin"/>
                    </w:r>
                    <w:r>
                      <w:rPr>
                        <w:rFonts w:ascii="Times New Roman" w:hAnsi="Times New Roman"/>
                        <w:sz w:val="18"/>
                      </w:rPr>
                      <w:instrText xml:space="preserve"> PAGE  \* MERGEFORMAT </w:instrText>
                    </w:r>
                    <w:r>
                      <w:rPr>
                        <w:rFonts w:ascii="Times New Roman" w:hAnsi="Times New Roman"/>
                        <w:sz w:val="18"/>
                      </w:rPr>
                      <w:fldChar w:fldCharType="separate"/>
                    </w:r>
                    <w:r>
                      <w:rPr>
                        <w:rFonts w:ascii="Times New Roman" w:hAnsi="Times New Roman"/>
                        <w:sz w:val="18"/>
                      </w:rPr>
                      <w:t>2</w:t>
                    </w:r>
                    <w:r>
                      <w:rPr>
                        <w:rFonts w:ascii="Times New Roman" w:hAnsi="Times New Roman"/>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65F378">
    <w:pPr>
      <w:pStyle w:val="10"/>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4058E0"/>
    <w:multiLevelType w:val="multilevel"/>
    <w:tmpl w:val="544058E0"/>
    <w:lvl w:ilvl="0" w:tentative="0">
      <w:start w:val="1"/>
      <w:numFmt w:val="decimal"/>
      <w:suff w:val="nothing"/>
      <w:lvlText w:val="%1"/>
      <w:lvlJc w:val="left"/>
      <w:pPr>
        <w:ind w:left="425" w:hanging="425"/>
      </w:pPr>
      <w:rPr>
        <w:rFonts w:hint="eastAsia"/>
      </w:rPr>
    </w:lvl>
    <w:lvl w:ilvl="1" w:tentative="0">
      <w:start w:val="1"/>
      <w:numFmt w:val="decimal"/>
      <w:lvlText w:val="%1.%2"/>
      <w:lvlJc w:val="left"/>
      <w:pPr>
        <w:ind w:left="992" w:hanging="567"/>
      </w:pPr>
      <w:rPr>
        <w:rFonts w:hint="eastAsia"/>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RjNTMwMDlhNTlhNTA0OTQwYjA0ZTI4MjA2NDE1YWMifQ=="/>
  </w:docVars>
  <w:rsids>
    <w:rsidRoot w:val="00867A23"/>
    <w:rsid w:val="00010434"/>
    <w:rsid w:val="000120CD"/>
    <w:rsid w:val="000174E2"/>
    <w:rsid w:val="000177DD"/>
    <w:rsid w:val="00024BCE"/>
    <w:rsid w:val="000345F6"/>
    <w:rsid w:val="00035E35"/>
    <w:rsid w:val="000508AC"/>
    <w:rsid w:val="00057515"/>
    <w:rsid w:val="0005753B"/>
    <w:rsid w:val="000714E2"/>
    <w:rsid w:val="00073F62"/>
    <w:rsid w:val="0008041A"/>
    <w:rsid w:val="00082310"/>
    <w:rsid w:val="00087E89"/>
    <w:rsid w:val="00093A80"/>
    <w:rsid w:val="00096C9A"/>
    <w:rsid w:val="000B4AF6"/>
    <w:rsid w:val="000C1786"/>
    <w:rsid w:val="000C55BD"/>
    <w:rsid w:val="000D7253"/>
    <w:rsid w:val="000E3E78"/>
    <w:rsid w:val="000F47E7"/>
    <w:rsid w:val="000F63F6"/>
    <w:rsid w:val="00106B65"/>
    <w:rsid w:val="0011067D"/>
    <w:rsid w:val="00114469"/>
    <w:rsid w:val="00116209"/>
    <w:rsid w:val="0011789D"/>
    <w:rsid w:val="00120CD1"/>
    <w:rsid w:val="00121335"/>
    <w:rsid w:val="00130A3F"/>
    <w:rsid w:val="00131B3C"/>
    <w:rsid w:val="0013264A"/>
    <w:rsid w:val="0013515C"/>
    <w:rsid w:val="00146CB7"/>
    <w:rsid w:val="00160C76"/>
    <w:rsid w:val="00161830"/>
    <w:rsid w:val="00163481"/>
    <w:rsid w:val="0016359C"/>
    <w:rsid w:val="001638AF"/>
    <w:rsid w:val="00167CD8"/>
    <w:rsid w:val="001700EA"/>
    <w:rsid w:val="00170B5F"/>
    <w:rsid w:val="001719E9"/>
    <w:rsid w:val="00172721"/>
    <w:rsid w:val="001732EB"/>
    <w:rsid w:val="00174175"/>
    <w:rsid w:val="001861FE"/>
    <w:rsid w:val="00186A8D"/>
    <w:rsid w:val="00191269"/>
    <w:rsid w:val="00192DDF"/>
    <w:rsid w:val="00194AED"/>
    <w:rsid w:val="001A052C"/>
    <w:rsid w:val="001A241A"/>
    <w:rsid w:val="001A29A0"/>
    <w:rsid w:val="001A5F5F"/>
    <w:rsid w:val="001B0B97"/>
    <w:rsid w:val="001B20BA"/>
    <w:rsid w:val="001B2ADC"/>
    <w:rsid w:val="001B6CF6"/>
    <w:rsid w:val="001B78FC"/>
    <w:rsid w:val="001C02C2"/>
    <w:rsid w:val="001C215A"/>
    <w:rsid w:val="001D1160"/>
    <w:rsid w:val="001E165B"/>
    <w:rsid w:val="001E1CFD"/>
    <w:rsid w:val="001E47D2"/>
    <w:rsid w:val="001E618A"/>
    <w:rsid w:val="001E62D3"/>
    <w:rsid w:val="001E72A2"/>
    <w:rsid w:val="001F3874"/>
    <w:rsid w:val="00200A51"/>
    <w:rsid w:val="002015A8"/>
    <w:rsid w:val="00201A6F"/>
    <w:rsid w:val="002029C1"/>
    <w:rsid w:val="00204543"/>
    <w:rsid w:val="0020555D"/>
    <w:rsid w:val="0021104B"/>
    <w:rsid w:val="00211D5B"/>
    <w:rsid w:val="002143FA"/>
    <w:rsid w:val="0021591E"/>
    <w:rsid w:val="0021798B"/>
    <w:rsid w:val="00220696"/>
    <w:rsid w:val="00223356"/>
    <w:rsid w:val="00230D0D"/>
    <w:rsid w:val="002314E0"/>
    <w:rsid w:val="00232649"/>
    <w:rsid w:val="00232B84"/>
    <w:rsid w:val="0023631B"/>
    <w:rsid w:val="00236C86"/>
    <w:rsid w:val="00240896"/>
    <w:rsid w:val="00240C99"/>
    <w:rsid w:val="00241722"/>
    <w:rsid w:val="00241E26"/>
    <w:rsid w:val="0024272B"/>
    <w:rsid w:val="002439EA"/>
    <w:rsid w:val="00244B38"/>
    <w:rsid w:val="00245F4C"/>
    <w:rsid w:val="00250738"/>
    <w:rsid w:val="002528C4"/>
    <w:rsid w:val="00253571"/>
    <w:rsid w:val="00254893"/>
    <w:rsid w:val="00261A92"/>
    <w:rsid w:val="00284733"/>
    <w:rsid w:val="002853FC"/>
    <w:rsid w:val="0028759E"/>
    <w:rsid w:val="00287EF1"/>
    <w:rsid w:val="00292555"/>
    <w:rsid w:val="00295C19"/>
    <w:rsid w:val="00295D8D"/>
    <w:rsid w:val="00295DBA"/>
    <w:rsid w:val="002A188F"/>
    <w:rsid w:val="002A34F9"/>
    <w:rsid w:val="002B16FD"/>
    <w:rsid w:val="002B4635"/>
    <w:rsid w:val="002C06BB"/>
    <w:rsid w:val="002C3B28"/>
    <w:rsid w:val="002C6F63"/>
    <w:rsid w:val="002D0D7A"/>
    <w:rsid w:val="002E0449"/>
    <w:rsid w:val="00301A69"/>
    <w:rsid w:val="00302ED7"/>
    <w:rsid w:val="00307D29"/>
    <w:rsid w:val="00313611"/>
    <w:rsid w:val="00315025"/>
    <w:rsid w:val="00321548"/>
    <w:rsid w:val="00322454"/>
    <w:rsid w:val="00322AEA"/>
    <w:rsid w:val="00326858"/>
    <w:rsid w:val="00327711"/>
    <w:rsid w:val="003404C5"/>
    <w:rsid w:val="00344C8C"/>
    <w:rsid w:val="003460D4"/>
    <w:rsid w:val="0035194E"/>
    <w:rsid w:val="00355DB4"/>
    <w:rsid w:val="003614D3"/>
    <w:rsid w:val="00361897"/>
    <w:rsid w:val="00367207"/>
    <w:rsid w:val="003909AA"/>
    <w:rsid w:val="00391744"/>
    <w:rsid w:val="003919A8"/>
    <w:rsid w:val="00397834"/>
    <w:rsid w:val="003A00F3"/>
    <w:rsid w:val="003A21F5"/>
    <w:rsid w:val="003A69C7"/>
    <w:rsid w:val="003B311E"/>
    <w:rsid w:val="003B627C"/>
    <w:rsid w:val="003C2BD2"/>
    <w:rsid w:val="003D4253"/>
    <w:rsid w:val="003D4FD4"/>
    <w:rsid w:val="003E2339"/>
    <w:rsid w:val="003E31F7"/>
    <w:rsid w:val="003E4981"/>
    <w:rsid w:val="003F303D"/>
    <w:rsid w:val="0041099F"/>
    <w:rsid w:val="00423494"/>
    <w:rsid w:val="00424619"/>
    <w:rsid w:val="004259A1"/>
    <w:rsid w:val="00425D7D"/>
    <w:rsid w:val="004271F7"/>
    <w:rsid w:val="00431C4C"/>
    <w:rsid w:val="00440660"/>
    <w:rsid w:val="00444A32"/>
    <w:rsid w:val="00450835"/>
    <w:rsid w:val="00452EB8"/>
    <w:rsid w:val="00454F49"/>
    <w:rsid w:val="00464571"/>
    <w:rsid w:val="00467858"/>
    <w:rsid w:val="004742D2"/>
    <w:rsid w:val="00481C0B"/>
    <w:rsid w:val="00482AF7"/>
    <w:rsid w:val="004845C3"/>
    <w:rsid w:val="00484A27"/>
    <w:rsid w:val="00493DCA"/>
    <w:rsid w:val="00496C2E"/>
    <w:rsid w:val="00497AA4"/>
    <w:rsid w:val="004B3867"/>
    <w:rsid w:val="004C0CE0"/>
    <w:rsid w:val="004C44C1"/>
    <w:rsid w:val="004C4B0C"/>
    <w:rsid w:val="004D593F"/>
    <w:rsid w:val="004E08BD"/>
    <w:rsid w:val="004F5D25"/>
    <w:rsid w:val="00502B7C"/>
    <w:rsid w:val="00503964"/>
    <w:rsid w:val="005048FB"/>
    <w:rsid w:val="00505E27"/>
    <w:rsid w:val="00522599"/>
    <w:rsid w:val="00527462"/>
    <w:rsid w:val="00534A08"/>
    <w:rsid w:val="00542E8B"/>
    <w:rsid w:val="005444A3"/>
    <w:rsid w:val="0054738F"/>
    <w:rsid w:val="00551521"/>
    <w:rsid w:val="0055431F"/>
    <w:rsid w:val="005674F2"/>
    <w:rsid w:val="00570468"/>
    <w:rsid w:val="00572BFF"/>
    <w:rsid w:val="005741E1"/>
    <w:rsid w:val="00580BCC"/>
    <w:rsid w:val="00593AC3"/>
    <w:rsid w:val="005A0B27"/>
    <w:rsid w:val="005B16CF"/>
    <w:rsid w:val="005B756C"/>
    <w:rsid w:val="005C14E1"/>
    <w:rsid w:val="005C2278"/>
    <w:rsid w:val="005C4EE9"/>
    <w:rsid w:val="005D07DF"/>
    <w:rsid w:val="005D3EC8"/>
    <w:rsid w:val="005D635E"/>
    <w:rsid w:val="005E17CB"/>
    <w:rsid w:val="005E6CB2"/>
    <w:rsid w:val="005F4451"/>
    <w:rsid w:val="005F5100"/>
    <w:rsid w:val="00600DC8"/>
    <w:rsid w:val="006010F4"/>
    <w:rsid w:val="00604E9C"/>
    <w:rsid w:val="006051D8"/>
    <w:rsid w:val="00607E29"/>
    <w:rsid w:val="00612272"/>
    <w:rsid w:val="00615F67"/>
    <w:rsid w:val="00621E10"/>
    <w:rsid w:val="00631212"/>
    <w:rsid w:val="006351EB"/>
    <w:rsid w:val="00635374"/>
    <w:rsid w:val="00640EE4"/>
    <w:rsid w:val="00642167"/>
    <w:rsid w:val="006520B9"/>
    <w:rsid w:val="00652B73"/>
    <w:rsid w:val="006532EA"/>
    <w:rsid w:val="00663417"/>
    <w:rsid w:val="00666623"/>
    <w:rsid w:val="00672183"/>
    <w:rsid w:val="0067616F"/>
    <w:rsid w:val="0069068D"/>
    <w:rsid w:val="00692143"/>
    <w:rsid w:val="00692E67"/>
    <w:rsid w:val="00693640"/>
    <w:rsid w:val="00694C9B"/>
    <w:rsid w:val="006968A1"/>
    <w:rsid w:val="006A795E"/>
    <w:rsid w:val="006B07A6"/>
    <w:rsid w:val="006B166B"/>
    <w:rsid w:val="006B301F"/>
    <w:rsid w:val="006C00AF"/>
    <w:rsid w:val="006C1A01"/>
    <w:rsid w:val="006C357D"/>
    <w:rsid w:val="006C62A5"/>
    <w:rsid w:val="006C7AB1"/>
    <w:rsid w:val="006D07DF"/>
    <w:rsid w:val="006D47D1"/>
    <w:rsid w:val="006D692A"/>
    <w:rsid w:val="006D75A6"/>
    <w:rsid w:val="006E0A30"/>
    <w:rsid w:val="006E4192"/>
    <w:rsid w:val="006E7547"/>
    <w:rsid w:val="006F00BB"/>
    <w:rsid w:val="006F1657"/>
    <w:rsid w:val="00710780"/>
    <w:rsid w:val="007119DF"/>
    <w:rsid w:val="007148C5"/>
    <w:rsid w:val="00714D08"/>
    <w:rsid w:val="0072285B"/>
    <w:rsid w:val="007255FF"/>
    <w:rsid w:val="00730194"/>
    <w:rsid w:val="00732CB0"/>
    <w:rsid w:val="007338D7"/>
    <w:rsid w:val="007365A3"/>
    <w:rsid w:val="0074017E"/>
    <w:rsid w:val="007412D1"/>
    <w:rsid w:val="00742FB4"/>
    <w:rsid w:val="00760569"/>
    <w:rsid w:val="00774A2B"/>
    <w:rsid w:val="00777575"/>
    <w:rsid w:val="007800E0"/>
    <w:rsid w:val="00790F16"/>
    <w:rsid w:val="0079178E"/>
    <w:rsid w:val="00795B45"/>
    <w:rsid w:val="007A4418"/>
    <w:rsid w:val="007A461A"/>
    <w:rsid w:val="007C11D9"/>
    <w:rsid w:val="007C204B"/>
    <w:rsid w:val="007C332A"/>
    <w:rsid w:val="007D0985"/>
    <w:rsid w:val="007D442D"/>
    <w:rsid w:val="007D7964"/>
    <w:rsid w:val="007E63BB"/>
    <w:rsid w:val="007F4564"/>
    <w:rsid w:val="007F7307"/>
    <w:rsid w:val="00806972"/>
    <w:rsid w:val="0080743F"/>
    <w:rsid w:val="008119BA"/>
    <w:rsid w:val="008124E8"/>
    <w:rsid w:val="00813857"/>
    <w:rsid w:val="00813D82"/>
    <w:rsid w:val="00825C31"/>
    <w:rsid w:val="008279D8"/>
    <w:rsid w:val="00827F72"/>
    <w:rsid w:val="00830BA1"/>
    <w:rsid w:val="00831071"/>
    <w:rsid w:val="008325A0"/>
    <w:rsid w:val="0083499E"/>
    <w:rsid w:val="0083550B"/>
    <w:rsid w:val="00841046"/>
    <w:rsid w:val="0084114A"/>
    <w:rsid w:val="0084327E"/>
    <w:rsid w:val="008631B5"/>
    <w:rsid w:val="00863A9D"/>
    <w:rsid w:val="00867A23"/>
    <w:rsid w:val="00877D2F"/>
    <w:rsid w:val="008839EE"/>
    <w:rsid w:val="00894ABA"/>
    <w:rsid w:val="00895E44"/>
    <w:rsid w:val="00897634"/>
    <w:rsid w:val="008A2DAD"/>
    <w:rsid w:val="008B4F9E"/>
    <w:rsid w:val="008B73B8"/>
    <w:rsid w:val="008C015A"/>
    <w:rsid w:val="008D1179"/>
    <w:rsid w:val="008D37AA"/>
    <w:rsid w:val="008D3E7E"/>
    <w:rsid w:val="008E5D36"/>
    <w:rsid w:val="008E6B42"/>
    <w:rsid w:val="008F3069"/>
    <w:rsid w:val="008F6520"/>
    <w:rsid w:val="008F668E"/>
    <w:rsid w:val="00901C94"/>
    <w:rsid w:val="00903566"/>
    <w:rsid w:val="00903C72"/>
    <w:rsid w:val="0091059F"/>
    <w:rsid w:val="00920FFE"/>
    <w:rsid w:val="00921297"/>
    <w:rsid w:val="00924F5D"/>
    <w:rsid w:val="00926D34"/>
    <w:rsid w:val="00936851"/>
    <w:rsid w:val="00941040"/>
    <w:rsid w:val="00946819"/>
    <w:rsid w:val="00951F69"/>
    <w:rsid w:val="00964C1C"/>
    <w:rsid w:val="0097168E"/>
    <w:rsid w:val="009719E7"/>
    <w:rsid w:val="00983307"/>
    <w:rsid w:val="00987687"/>
    <w:rsid w:val="00991807"/>
    <w:rsid w:val="009A55BD"/>
    <w:rsid w:val="009A7C87"/>
    <w:rsid w:val="009B430C"/>
    <w:rsid w:val="009B7E76"/>
    <w:rsid w:val="009D281E"/>
    <w:rsid w:val="009D5E5A"/>
    <w:rsid w:val="009E10C1"/>
    <w:rsid w:val="009F0A2A"/>
    <w:rsid w:val="009F4D93"/>
    <w:rsid w:val="009F6265"/>
    <w:rsid w:val="009F78AC"/>
    <w:rsid w:val="00A06362"/>
    <w:rsid w:val="00A06EC3"/>
    <w:rsid w:val="00A13AA5"/>
    <w:rsid w:val="00A16DD3"/>
    <w:rsid w:val="00A21938"/>
    <w:rsid w:val="00A2601F"/>
    <w:rsid w:val="00A356EF"/>
    <w:rsid w:val="00A36B81"/>
    <w:rsid w:val="00A37D5B"/>
    <w:rsid w:val="00A41524"/>
    <w:rsid w:val="00A4172B"/>
    <w:rsid w:val="00A538D1"/>
    <w:rsid w:val="00A63F15"/>
    <w:rsid w:val="00A84078"/>
    <w:rsid w:val="00A90BBB"/>
    <w:rsid w:val="00A9721A"/>
    <w:rsid w:val="00AA7178"/>
    <w:rsid w:val="00AB611E"/>
    <w:rsid w:val="00AB6A22"/>
    <w:rsid w:val="00AC3B60"/>
    <w:rsid w:val="00AC63C2"/>
    <w:rsid w:val="00AD53D5"/>
    <w:rsid w:val="00AE5146"/>
    <w:rsid w:val="00AF267A"/>
    <w:rsid w:val="00AF4409"/>
    <w:rsid w:val="00AF6226"/>
    <w:rsid w:val="00B00ABA"/>
    <w:rsid w:val="00B02EA7"/>
    <w:rsid w:val="00B04FA8"/>
    <w:rsid w:val="00B117F5"/>
    <w:rsid w:val="00B219D8"/>
    <w:rsid w:val="00B24F57"/>
    <w:rsid w:val="00B25ABB"/>
    <w:rsid w:val="00B333B0"/>
    <w:rsid w:val="00B344D9"/>
    <w:rsid w:val="00B37F09"/>
    <w:rsid w:val="00B46E7E"/>
    <w:rsid w:val="00B55436"/>
    <w:rsid w:val="00B6756B"/>
    <w:rsid w:val="00B70BB4"/>
    <w:rsid w:val="00B712A2"/>
    <w:rsid w:val="00B74BC1"/>
    <w:rsid w:val="00B76A6B"/>
    <w:rsid w:val="00B814CC"/>
    <w:rsid w:val="00B93631"/>
    <w:rsid w:val="00B96583"/>
    <w:rsid w:val="00BC39A7"/>
    <w:rsid w:val="00BC5B4B"/>
    <w:rsid w:val="00BC7023"/>
    <w:rsid w:val="00BD103E"/>
    <w:rsid w:val="00BE0D18"/>
    <w:rsid w:val="00BE7D08"/>
    <w:rsid w:val="00BF319B"/>
    <w:rsid w:val="00BF3B94"/>
    <w:rsid w:val="00C06E43"/>
    <w:rsid w:val="00C2040B"/>
    <w:rsid w:val="00C255F5"/>
    <w:rsid w:val="00C30406"/>
    <w:rsid w:val="00C360CD"/>
    <w:rsid w:val="00C40311"/>
    <w:rsid w:val="00C4495A"/>
    <w:rsid w:val="00C47116"/>
    <w:rsid w:val="00C53B1F"/>
    <w:rsid w:val="00C554AE"/>
    <w:rsid w:val="00C55B31"/>
    <w:rsid w:val="00C57A0D"/>
    <w:rsid w:val="00C57F2F"/>
    <w:rsid w:val="00C60759"/>
    <w:rsid w:val="00C6620B"/>
    <w:rsid w:val="00C72128"/>
    <w:rsid w:val="00C721D4"/>
    <w:rsid w:val="00C937D5"/>
    <w:rsid w:val="00CA05B7"/>
    <w:rsid w:val="00CA541B"/>
    <w:rsid w:val="00CB44D9"/>
    <w:rsid w:val="00CB5B70"/>
    <w:rsid w:val="00CB6520"/>
    <w:rsid w:val="00CC126D"/>
    <w:rsid w:val="00CC1E9D"/>
    <w:rsid w:val="00CD1377"/>
    <w:rsid w:val="00CD4965"/>
    <w:rsid w:val="00CD4B63"/>
    <w:rsid w:val="00CD5D06"/>
    <w:rsid w:val="00CE14B7"/>
    <w:rsid w:val="00CF3ABA"/>
    <w:rsid w:val="00CF50B0"/>
    <w:rsid w:val="00D002D6"/>
    <w:rsid w:val="00D01E48"/>
    <w:rsid w:val="00D05017"/>
    <w:rsid w:val="00D065B7"/>
    <w:rsid w:val="00D07F38"/>
    <w:rsid w:val="00D10D3D"/>
    <w:rsid w:val="00D16367"/>
    <w:rsid w:val="00D21AE8"/>
    <w:rsid w:val="00D21F92"/>
    <w:rsid w:val="00D2754A"/>
    <w:rsid w:val="00D320D2"/>
    <w:rsid w:val="00D444A6"/>
    <w:rsid w:val="00D46603"/>
    <w:rsid w:val="00D5378E"/>
    <w:rsid w:val="00D55041"/>
    <w:rsid w:val="00D66218"/>
    <w:rsid w:val="00D7266A"/>
    <w:rsid w:val="00D7343B"/>
    <w:rsid w:val="00D862FB"/>
    <w:rsid w:val="00D96F2F"/>
    <w:rsid w:val="00DB0362"/>
    <w:rsid w:val="00DB36A0"/>
    <w:rsid w:val="00DB37FD"/>
    <w:rsid w:val="00DB74B6"/>
    <w:rsid w:val="00DB76A4"/>
    <w:rsid w:val="00DC19CC"/>
    <w:rsid w:val="00DC40D9"/>
    <w:rsid w:val="00DD7002"/>
    <w:rsid w:val="00DE3713"/>
    <w:rsid w:val="00DF201D"/>
    <w:rsid w:val="00DF472C"/>
    <w:rsid w:val="00E0228F"/>
    <w:rsid w:val="00E033ED"/>
    <w:rsid w:val="00E06B8A"/>
    <w:rsid w:val="00E134B3"/>
    <w:rsid w:val="00E15C91"/>
    <w:rsid w:val="00E16E8B"/>
    <w:rsid w:val="00E23CA4"/>
    <w:rsid w:val="00E247AD"/>
    <w:rsid w:val="00E25F1D"/>
    <w:rsid w:val="00E329D3"/>
    <w:rsid w:val="00E37A89"/>
    <w:rsid w:val="00E40AFE"/>
    <w:rsid w:val="00E45195"/>
    <w:rsid w:val="00E476C2"/>
    <w:rsid w:val="00E47CF0"/>
    <w:rsid w:val="00E55573"/>
    <w:rsid w:val="00E557AA"/>
    <w:rsid w:val="00E56E81"/>
    <w:rsid w:val="00E574EA"/>
    <w:rsid w:val="00E62060"/>
    <w:rsid w:val="00E629E3"/>
    <w:rsid w:val="00E64A1C"/>
    <w:rsid w:val="00E76D68"/>
    <w:rsid w:val="00E91A34"/>
    <w:rsid w:val="00E93C7C"/>
    <w:rsid w:val="00E96968"/>
    <w:rsid w:val="00EA563C"/>
    <w:rsid w:val="00EB7EE7"/>
    <w:rsid w:val="00EC09C7"/>
    <w:rsid w:val="00EC1AA4"/>
    <w:rsid w:val="00ED030B"/>
    <w:rsid w:val="00ED09D3"/>
    <w:rsid w:val="00ED4770"/>
    <w:rsid w:val="00EE0E53"/>
    <w:rsid w:val="00EE1C5B"/>
    <w:rsid w:val="00EE522E"/>
    <w:rsid w:val="00EF2FD7"/>
    <w:rsid w:val="00F06DF3"/>
    <w:rsid w:val="00F11446"/>
    <w:rsid w:val="00F32D2D"/>
    <w:rsid w:val="00F34097"/>
    <w:rsid w:val="00F35FDE"/>
    <w:rsid w:val="00F40A94"/>
    <w:rsid w:val="00F410A6"/>
    <w:rsid w:val="00F414CC"/>
    <w:rsid w:val="00F509DC"/>
    <w:rsid w:val="00F551A4"/>
    <w:rsid w:val="00F64960"/>
    <w:rsid w:val="00F66610"/>
    <w:rsid w:val="00F7473B"/>
    <w:rsid w:val="00F7507C"/>
    <w:rsid w:val="00F7690F"/>
    <w:rsid w:val="00F8165E"/>
    <w:rsid w:val="00F8493E"/>
    <w:rsid w:val="00F86519"/>
    <w:rsid w:val="00F93E1D"/>
    <w:rsid w:val="00F9607C"/>
    <w:rsid w:val="00FA00F6"/>
    <w:rsid w:val="00FA0CEE"/>
    <w:rsid w:val="00FA36A4"/>
    <w:rsid w:val="00FA684F"/>
    <w:rsid w:val="00FB3545"/>
    <w:rsid w:val="00FB53E7"/>
    <w:rsid w:val="00FC08D7"/>
    <w:rsid w:val="00FC3CA5"/>
    <w:rsid w:val="00FD001F"/>
    <w:rsid w:val="00FD3688"/>
    <w:rsid w:val="00FD79F9"/>
    <w:rsid w:val="00FE078C"/>
    <w:rsid w:val="00FE3624"/>
    <w:rsid w:val="00FE48E0"/>
    <w:rsid w:val="00FF57FC"/>
    <w:rsid w:val="00FF67BD"/>
    <w:rsid w:val="09B3658D"/>
    <w:rsid w:val="11150B10"/>
    <w:rsid w:val="166A1CB2"/>
    <w:rsid w:val="16E06917"/>
    <w:rsid w:val="1BF624CF"/>
    <w:rsid w:val="1D7D7AF9"/>
    <w:rsid w:val="1DB04512"/>
    <w:rsid w:val="20DA5EA6"/>
    <w:rsid w:val="217066E1"/>
    <w:rsid w:val="29CE253C"/>
    <w:rsid w:val="2D10361F"/>
    <w:rsid w:val="2D286B47"/>
    <w:rsid w:val="367852E0"/>
    <w:rsid w:val="3BD36BFB"/>
    <w:rsid w:val="3CA0222E"/>
    <w:rsid w:val="47F86800"/>
    <w:rsid w:val="47FE3287"/>
    <w:rsid w:val="4BB035D0"/>
    <w:rsid w:val="56580403"/>
    <w:rsid w:val="5CE826A2"/>
    <w:rsid w:val="63453CC2"/>
    <w:rsid w:val="639172E3"/>
    <w:rsid w:val="6A582906"/>
    <w:rsid w:val="6BE159A1"/>
    <w:rsid w:val="6C90426F"/>
    <w:rsid w:val="6F6B095D"/>
    <w:rsid w:val="76FE53F7"/>
    <w:rsid w:val="79446787"/>
    <w:rsid w:val="7EF4493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9" w:semiHidden="0" w:name="heading 5"/>
    <w:lsdException w:qFormat="1" w:unhideWhenUsed="0" w:uiPriority="99" w:semiHidden="0" w:name="heading 6"/>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qFormat="1"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name="Hyperlink"/>
    <w:lsdException w:uiPriority="0" w:name="FollowedHyperlink"/>
    <w:lsdException w:qFormat="1" w:unhideWhenUsed="0" w:uiPriority="99" w:semiHidden="0" w:name="Strong"/>
    <w:lsdException w:qFormat="1" w:unhideWhenUsed="0" w:uiPriority="0" w:semiHidden="0" w:name="Emphasis" w:locked="1"/>
    <w:lsdException w:uiPriority="0" w:name="Document Map"/>
    <w:lsdException w:qFormat="1" w:unhideWhenUsed="0" w:uiPriority="0" w:semiHidden="0" w:name="Plain Text"/>
    <w:lsdException w:uiPriority="0" w:name="E-mail Signature"/>
    <w:lsdException w:qFormat="1" w:unhideWhenUsed="0"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ocked="1"/>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29"/>
    <w:qFormat/>
    <w:locked/>
    <w:uiPriority w:val="0"/>
    <w:pPr>
      <w:keepNext/>
      <w:keepLines/>
      <w:spacing w:before="340" w:after="330" w:line="578" w:lineRule="auto"/>
      <w:outlineLvl w:val="0"/>
    </w:pPr>
    <w:rPr>
      <w:b/>
      <w:bCs/>
      <w:kern w:val="44"/>
      <w:sz w:val="44"/>
      <w:szCs w:val="44"/>
    </w:rPr>
  </w:style>
  <w:style w:type="paragraph" w:styleId="3">
    <w:name w:val="heading 5"/>
    <w:basedOn w:val="1"/>
    <w:next w:val="1"/>
    <w:link w:val="116"/>
    <w:autoRedefine/>
    <w:qFormat/>
    <w:uiPriority w:val="99"/>
    <w:pPr>
      <w:widowControl/>
      <w:spacing w:before="100" w:beforeAutospacing="1" w:after="100" w:afterAutospacing="1"/>
      <w:jc w:val="left"/>
      <w:outlineLvl w:val="4"/>
    </w:pPr>
    <w:rPr>
      <w:rFonts w:ascii="宋体" w:hAnsi="宋体"/>
      <w:b/>
      <w:bCs/>
      <w:kern w:val="0"/>
      <w:sz w:val="20"/>
      <w:szCs w:val="20"/>
    </w:rPr>
  </w:style>
  <w:style w:type="paragraph" w:styleId="4">
    <w:name w:val="heading 6"/>
    <w:basedOn w:val="1"/>
    <w:next w:val="1"/>
    <w:link w:val="117"/>
    <w:autoRedefine/>
    <w:qFormat/>
    <w:uiPriority w:val="99"/>
    <w:pPr>
      <w:widowControl/>
      <w:spacing w:before="100" w:beforeAutospacing="1" w:after="100" w:afterAutospacing="1"/>
      <w:jc w:val="left"/>
      <w:outlineLvl w:val="5"/>
    </w:pPr>
    <w:rPr>
      <w:rFonts w:ascii="宋体" w:hAnsi="宋体"/>
      <w:b/>
      <w:bCs/>
      <w:kern w:val="0"/>
      <w:sz w:val="15"/>
      <w:szCs w:val="15"/>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124"/>
    <w:autoRedefine/>
    <w:qFormat/>
    <w:uiPriority w:val="99"/>
    <w:pPr>
      <w:jc w:val="left"/>
    </w:pPr>
    <w:rPr>
      <w:rFonts w:cs="Calibri"/>
      <w:szCs w:val="21"/>
    </w:rPr>
  </w:style>
  <w:style w:type="paragraph" w:styleId="6">
    <w:name w:val="Plain Text"/>
    <w:basedOn w:val="1"/>
    <w:link w:val="128"/>
    <w:qFormat/>
    <w:uiPriority w:val="0"/>
    <w:rPr>
      <w:rFonts w:ascii="宋体" w:hAnsi="Courier New"/>
      <w:kern w:val="0"/>
      <w:sz w:val="20"/>
      <w:szCs w:val="20"/>
      <w:lang w:val="zh-CN"/>
    </w:rPr>
  </w:style>
  <w:style w:type="paragraph" w:styleId="7">
    <w:name w:val="Date"/>
    <w:basedOn w:val="1"/>
    <w:next w:val="1"/>
    <w:link w:val="126"/>
    <w:autoRedefine/>
    <w:unhideWhenUsed/>
    <w:qFormat/>
    <w:uiPriority w:val="0"/>
    <w:pPr>
      <w:ind w:left="100" w:leftChars="2500"/>
    </w:pPr>
  </w:style>
  <w:style w:type="paragraph" w:styleId="8">
    <w:name w:val="Balloon Text"/>
    <w:basedOn w:val="1"/>
    <w:autoRedefine/>
    <w:semiHidden/>
    <w:qFormat/>
    <w:uiPriority w:val="0"/>
    <w:rPr>
      <w:sz w:val="18"/>
      <w:szCs w:val="18"/>
    </w:rPr>
  </w:style>
  <w:style w:type="paragraph" w:styleId="9">
    <w:name w:val="footer"/>
    <w:basedOn w:val="1"/>
    <w:link w:val="119"/>
    <w:autoRedefine/>
    <w:qFormat/>
    <w:uiPriority w:val="99"/>
    <w:pPr>
      <w:tabs>
        <w:tab w:val="center" w:pos="4153"/>
        <w:tab w:val="right" w:pos="8306"/>
      </w:tabs>
      <w:snapToGrid w:val="0"/>
      <w:jc w:val="left"/>
    </w:pPr>
    <w:rPr>
      <w:kern w:val="0"/>
      <w:sz w:val="18"/>
      <w:szCs w:val="18"/>
    </w:rPr>
  </w:style>
  <w:style w:type="paragraph" w:styleId="10">
    <w:name w:val="header"/>
    <w:basedOn w:val="1"/>
    <w:link w:val="118"/>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autoRedefine/>
    <w:semiHidden/>
    <w:qFormat/>
    <w:uiPriority w:val="99"/>
    <w:pPr>
      <w:widowControl/>
      <w:spacing w:before="100" w:beforeAutospacing="1" w:after="100" w:afterAutospacing="1"/>
      <w:jc w:val="left"/>
    </w:pPr>
    <w:rPr>
      <w:rFonts w:ascii="宋体" w:hAnsi="宋体" w:cs="宋体"/>
      <w:kern w:val="0"/>
      <w:sz w:val="24"/>
      <w:szCs w:val="24"/>
    </w:rPr>
  </w:style>
  <w:style w:type="paragraph" w:styleId="12">
    <w:name w:val="annotation subject"/>
    <w:basedOn w:val="5"/>
    <w:next w:val="5"/>
    <w:link w:val="125"/>
    <w:autoRedefine/>
    <w:unhideWhenUsed/>
    <w:qFormat/>
    <w:uiPriority w:val="0"/>
    <w:rPr>
      <w:rFonts w:cs="Times New Roman"/>
      <w:b/>
      <w:bCs/>
      <w:szCs w:val="22"/>
    </w:rPr>
  </w:style>
  <w:style w:type="table" w:styleId="14">
    <w:name w:val="Table Grid"/>
    <w:basedOn w:val="13"/>
    <w:qFormat/>
    <w:locked/>
    <w:uiPriority w:val="3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autoRedefine/>
    <w:qFormat/>
    <w:uiPriority w:val="99"/>
    <w:rPr>
      <w:rFonts w:cs="Times New Roman"/>
      <w:b/>
      <w:bCs/>
    </w:rPr>
  </w:style>
  <w:style w:type="character" w:styleId="17">
    <w:name w:val="page number"/>
    <w:basedOn w:val="15"/>
    <w:autoRedefine/>
    <w:unhideWhenUsed/>
    <w:qFormat/>
    <w:uiPriority w:val="0"/>
  </w:style>
  <w:style w:type="character" w:styleId="18">
    <w:name w:val="Hyperlink"/>
    <w:semiHidden/>
    <w:qFormat/>
    <w:uiPriority w:val="99"/>
    <w:rPr>
      <w:rFonts w:cs="Times New Roman"/>
      <w:color w:val="0000FF"/>
      <w:u w:val="single"/>
    </w:rPr>
  </w:style>
  <w:style w:type="character" w:styleId="19">
    <w:name w:val="annotation reference"/>
    <w:basedOn w:val="15"/>
    <w:unhideWhenUsed/>
    <w:qFormat/>
    <w:uiPriority w:val="0"/>
    <w:rPr>
      <w:sz w:val="21"/>
      <w:szCs w:val="21"/>
    </w:rPr>
  </w:style>
  <w:style w:type="paragraph" w:customStyle="1" w:styleId="20">
    <w:name w:val="a18da"/>
    <w:basedOn w:val="1"/>
    <w:qFormat/>
    <w:uiPriority w:val="99"/>
    <w:pPr>
      <w:widowControl/>
      <w:shd w:val="clear" w:color="auto" w:fill="EA290A"/>
      <w:spacing w:before="100" w:beforeAutospacing="1" w:after="100" w:afterAutospacing="1"/>
      <w:jc w:val="left"/>
    </w:pPr>
    <w:rPr>
      <w:rFonts w:ascii="宋体" w:hAnsi="宋体" w:cs="宋体"/>
      <w:kern w:val="0"/>
      <w:sz w:val="24"/>
      <w:szCs w:val="24"/>
    </w:rPr>
  </w:style>
  <w:style w:type="paragraph" w:customStyle="1" w:styleId="21">
    <w:name w:val="f_14"/>
    <w:basedOn w:val="1"/>
    <w:qFormat/>
    <w:uiPriority w:val="99"/>
    <w:pPr>
      <w:widowControl/>
      <w:spacing w:before="100" w:beforeAutospacing="1" w:after="100" w:afterAutospacing="1"/>
      <w:jc w:val="left"/>
    </w:pPr>
    <w:rPr>
      <w:rFonts w:ascii="宋体" w:hAnsi="宋体" w:cs="宋体"/>
      <w:kern w:val="0"/>
      <w:szCs w:val="21"/>
    </w:rPr>
  </w:style>
  <w:style w:type="paragraph" w:customStyle="1" w:styleId="22">
    <w:name w:val="f_12"/>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23">
    <w:name w:val="blue-dot"/>
    <w:basedOn w:val="1"/>
    <w:qFormat/>
    <w:uiPriority w:val="99"/>
    <w:pPr>
      <w:widowControl/>
      <w:spacing w:before="100" w:beforeAutospacing="1" w:after="100" w:afterAutospacing="1"/>
      <w:jc w:val="left"/>
    </w:pPr>
    <w:rPr>
      <w:rFonts w:ascii="宋体" w:hAnsi="宋体" w:cs="宋体"/>
      <w:color w:val="3075B4"/>
      <w:kern w:val="0"/>
      <w:sz w:val="18"/>
      <w:szCs w:val="18"/>
    </w:rPr>
  </w:style>
  <w:style w:type="paragraph" w:customStyle="1" w:styleId="24">
    <w:name w:val="red-dot"/>
    <w:basedOn w:val="1"/>
    <w:qFormat/>
    <w:uiPriority w:val="99"/>
    <w:pPr>
      <w:widowControl/>
      <w:spacing w:before="100" w:beforeAutospacing="1" w:after="100" w:afterAutospacing="1"/>
      <w:jc w:val="left"/>
    </w:pPr>
    <w:rPr>
      <w:rFonts w:ascii="宋体" w:hAnsi="宋体" w:cs="宋体"/>
      <w:color w:val="C81908"/>
      <w:kern w:val="0"/>
      <w:sz w:val="18"/>
      <w:szCs w:val="18"/>
    </w:rPr>
  </w:style>
  <w:style w:type="paragraph" w:customStyle="1" w:styleId="25">
    <w:name w:val="ab"/>
    <w:basedOn w:val="1"/>
    <w:qFormat/>
    <w:uiPriority w:val="99"/>
    <w:pPr>
      <w:widowControl/>
      <w:spacing w:before="100" w:beforeAutospacing="1" w:after="100" w:afterAutospacing="1"/>
      <w:jc w:val="left"/>
    </w:pPr>
    <w:rPr>
      <w:rFonts w:ascii="宋体" w:hAnsi="宋体" w:cs="宋体"/>
      <w:b/>
      <w:bCs/>
      <w:kern w:val="0"/>
      <w:sz w:val="24"/>
      <w:szCs w:val="24"/>
    </w:rPr>
  </w:style>
  <w:style w:type="paragraph" w:customStyle="1" w:styleId="26">
    <w:name w:val="website_execute_title_bg"/>
    <w:basedOn w:val="1"/>
    <w:qFormat/>
    <w:uiPriority w:val="99"/>
    <w:pPr>
      <w:widowControl/>
      <w:shd w:val="clear" w:color="auto" w:fill="C5C5C5"/>
      <w:spacing w:before="100" w:beforeAutospacing="1" w:after="100" w:afterAutospacing="1" w:line="390" w:lineRule="atLeast"/>
      <w:jc w:val="left"/>
      <w:textAlignment w:val="bottom"/>
    </w:pPr>
    <w:rPr>
      <w:rFonts w:ascii="宋体" w:hAnsi="宋体" w:cs="宋体"/>
      <w:b/>
      <w:bCs/>
      <w:color w:val="FFFFFF"/>
      <w:spacing w:val="40"/>
      <w:kern w:val="0"/>
      <w:sz w:val="18"/>
      <w:szCs w:val="18"/>
    </w:rPr>
  </w:style>
  <w:style w:type="paragraph" w:customStyle="1" w:styleId="27">
    <w:name w:val="lanmu-title"/>
    <w:basedOn w:val="1"/>
    <w:qFormat/>
    <w:uiPriority w:val="99"/>
    <w:pPr>
      <w:widowControl/>
      <w:spacing w:before="100" w:beforeAutospacing="1" w:after="100" w:afterAutospacing="1"/>
      <w:ind w:firstLine="375"/>
      <w:jc w:val="left"/>
    </w:pPr>
    <w:rPr>
      <w:rFonts w:ascii="宋体" w:hAnsi="宋体" w:cs="宋体"/>
      <w:b/>
      <w:bCs/>
      <w:color w:val="333333"/>
      <w:kern w:val="0"/>
      <w:szCs w:val="21"/>
    </w:rPr>
  </w:style>
  <w:style w:type="paragraph" w:customStyle="1" w:styleId="28">
    <w:name w:val="content"/>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29">
    <w:name w:val="menu-list-bg"/>
    <w:basedOn w:val="1"/>
    <w:qFormat/>
    <w:uiPriority w:val="99"/>
    <w:pPr>
      <w:widowControl/>
      <w:pBdr>
        <w:left w:val="single" w:color="7BB7DF" w:sz="6" w:space="0"/>
        <w:right w:val="single" w:color="7BB7DF" w:sz="6" w:space="0"/>
      </w:pBdr>
      <w:spacing w:before="100" w:beforeAutospacing="1" w:after="100" w:afterAutospacing="1" w:line="450" w:lineRule="atLeast"/>
      <w:ind w:firstLine="75"/>
      <w:jc w:val="left"/>
    </w:pPr>
    <w:rPr>
      <w:rFonts w:ascii="宋体" w:hAnsi="宋体" w:cs="宋体"/>
      <w:b/>
      <w:bCs/>
      <w:color w:val="000000"/>
      <w:kern w:val="0"/>
      <w:sz w:val="18"/>
      <w:szCs w:val="18"/>
    </w:rPr>
  </w:style>
  <w:style w:type="paragraph" w:customStyle="1" w:styleId="30">
    <w:name w:val="menu-line-bg"/>
    <w:basedOn w:val="1"/>
    <w:qFormat/>
    <w:uiPriority w:val="99"/>
    <w:pPr>
      <w:widowControl/>
      <w:pBdr>
        <w:right w:val="single" w:color="ABD1EB" w:sz="6" w:space="2"/>
      </w:pBdr>
      <w:spacing w:before="100" w:beforeAutospacing="1" w:after="100" w:afterAutospacing="1"/>
      <w:jc w:val="left"/>
    </w:pPr>
    <w:rPr>
      <w:rFonts w:ascii="宋体" w:hAnsi="宋体" w:cs="宋体"/>
      <w:kern w:val="0"/>
      <w:sz w:val="24"/>
      <w:szCs w:val="24"/>
    </w:rPr>
  </w:style>
  <w:style w:type="paragraph" w:customStyle="1" w:styleId="31">
    <w:name w:val="table-frame-750"/>
    <w:basedOn w:val="1"/>
    <w:qFormat/>
    <w:uiPriority w:val="99"/>
    <w:pPr>
      <w:widowControl/>
      <w:pBdr>
        <w:left w:val="single" w:color="ABD1EB" w:sz="6" w:space="3"/>
        <w:bottom w:val="single" w:color="ABD1EB" w:sz="6" w:space="3"/>
        <w:right w:val="single" w:color="ABD1EB" w:sz="6" w:space="3"/>
      </w:pBdr>
      <w:spacing w:before="100" w:beforeAutospacing="1" w:after="100" w:afterAutospacing="1"/>
      <w:jc w:val="left"/>
    </w:pPr>
    <w:rPr>
      <w:rFonts w:ascii="宋体" w:hAnsi="宋体" w:cs="宋体"/>
      <w:kern w:val="0"/>
      <w:sz w:val="24"/>
      <w:szCs w:val="24"/>
    </w:rPr>
  </w:style>
  <w:style w:type="paragraph" w:customStyle="1" w:styleId="32">
    <w:name w:val="table-frame-2008"/>
    <w:basedOn w:val="1"/>
    <w:qFormat/>
    <w:uiPriority w:val="99"/>
    <w:pPr>
      <w:widowControl/>
      <w:pBdr>
        <w:left w:val="single" w:color="ABD1EB" w:sz="6" w:space="0"/>
        <w:bottom w:val="single" w:color="ABD1EB" w:sz="6" w:space="0"/>
        <w:right w:val="single" w:color="ABD1EB" w:sz="6" w:space="0"/>
      </w:pBdr>
      <w:spacing w:before="100" w:beforeAutospacing="1" w:after="100" w:afterAutospacing="1"/>
      <w:jc w:val="left"/>
    </w:pPr>
    <w:rPr>
      <w:rFonts w:ascii="宋体" w:hAnsi="宋体" w:cs="宋体"/>
      <w:kern w:val="0"/>
      <w:sz w:val="24"/>
      <w:szCs w:val="24"/>
    </w:rPr>
  </w:style>
  <w:style w:type="paragraph" w:customStyle="1" w:styleId="33">
    <w:name w:val="question-bg"/>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34">
    <w:name w:val="op-bg"/>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35">
    <w:name w:val="blzt-bg"/>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36">
    <w:name w:val="jggs-bg"/>
    <w:basedOn w:val="1"/>
    <w:autoRedefine/>
    <w:qFormat/>
    <w:uiPriority w:val="99"/>
    <w:pPr>
      <w:widowControl/>
      <w:spacing w:before="100" w:beforeAutospacing="1" w:after="100" w:afterAutospacing="1"/>
      <w:jc w:val="left"/>
    </w:pPr>
    <w:rPr>
      <w:rFonts w:ascii="宋体" w:hAnsi="宋体" w:cs="宋体"/>
      <w:kern w:val="0"/>
      <w:sz w:val="24"/>
      <w:szCs w:val="24"/>
    </w:rPr>
  </w:style>
  <w:style w:type="paragraph" w:customStyle="1" w:styleId="37">
    <w:name w:val="table-frame-754"/>
    <w:basedOn w:val="1"/>
    <w:qFormat/>
    <w:uiPriority w:val="99"/>
    <w:pPr>
      <w:widowControl/>
      <w:pBdr>
        <w:left w:val="single" w:color="ABD1EB" w:sz="6" w:space="3"/>
        <w:bottom w:val="single" w:color="ABD1EB" w:sz="6" w:space="3"/>
        <w:right w:val="single" w:color="ABD1EB" w:sz="6" w:space="3"/>
      </w:pBdr>
      <w:spacing w:before="100" w:beforeAutospacing="1" w:after="100" w:afterAutospacing="1"/>
      <w:jc w:val="left"/>
    </w:pPr>
    <w:rPr>
      <w:rFonts w:ascii="宋体" w:hAnsi="宋体" w:cs="宋体"/>
      <w:kern w:val="0"/>
      <w:sz w:val="24"/>
      <w:szCs w:val="24"/>
    </w:rPr>
  </w:style>
  <w:style w:type="paragraph" w:customStyle="1" w:styleId="38">
    <w:name w:val="question-type-bg"/>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39">
    <w:name w:val="table-frame-375"/>
    <w:basedOn w:val="1"/>
    <w:qFormat/>
    <w:uiPriority w:val="99"/>
    <w:pPr>
      <w:widowControl/>
      <w:pBdr>
        <w:left w:val="single" w:color="ABD1EB" w:sz="6" w:space="3"/>
        <w:bottom w:val="single" w:color="ABD1EB" w:sz="6" w:space="3"/>
        <w:right w:val="single" w:color="ABD1EB" w:sz="6" w:space="3"/>
      </w:pBdr>
      <w:spacing w:before="100" w:beforeAutospacing="1" w:after="100" w:afterAutospacing="1"/>
      <w:jc w:val="left"/>
    </w:pPr>
    <w:rPr>
      <w:rFonts w:ascii="宋体" w:hAnsi="宋体" w:cs="宋体"/>
      <w:kern w:val="0"/>
      <w:sz w:val="24"/>
      <w:szCs w:val="24"/>
    </w:rPr>
  </w:style>
  <w:style w:type="paragraph" w:customStyle="1" w:styleId="40">
    <w:name w:val="left-223"/>
    <w:basedOn w:val="1"/>
    <w:qFormat/>
    <w:uiPriority w:val="99"/>
    <w:pPr>
      <w:widowControl/>
      <w:pBdr>
        <w:top w:val="single" w:color="CCCCCC" w:sz="6" w:space="1"/>
        <w:left w:val="single" w:color="CCCCCC" w:sz="6" w:space="1"/>
        <w:bottom w:val="single" w:color="CCCCCC" w:sz="6" w:space="1"/>
        <w:right w:val="single" w:color="CCCCCC" w:sz="6" w:space="1"/>
      </w:pBdr>
      <w:shd w:val="clear" w:color="auto" w:fill="FAFAFA"/>
      <w:spacing w:before="100" w:beforeAutospacing="1" w:after="100" w:afterAutospacing="1"/>
      <w:jc w:val="left"/>
    </w:pPr>
    <w:rPr>
      <w:rFonts w:ascii="宋体" w:hAnsi="宋体" w:cs="宋体"/>
      <w:kern w:val="0"/>
      <w:sz w:val="24"/>
      <w:szCs w:val="24"/>
    </w:rPr>
  </w:style>
  <w:style w:type="paragraph" w:customStyle="1" w:styleId="41">
    <w:name w:val="blue-table-title"/>
    <w:basedOn w:val="1"/>
    <w:qFormat/>
    <w:uiPriority w:val="99"/>
    <w:pPr>
      <w:widowControl/>
      <w:pBdr>
        <w:top w:val="single" w:color="ABD5EB" w:sz="6" w:space="3"/>
        <w:left w:val="single" w:color="ABD5EB" w:sz="6" w:space="0"/>
        <w:bottom w:val="single" w:color="ABD5EB" w:sz="6" w:space="3"/>
        <w:right w:val="single" w:color="ABD5EB" w:sz="6" w:space="0"/>
      </w:pBdr>
      <w:shd w:val="clear" w:color="auto" w:fill="F2F7FD"/>
      <w:spacing w:before="100" w:beforeAutospacing="1" w:after="100" w:afterAutospacing="1"/>
      <w:ind w:firstLine="90"/>
      <w:jc w:val="left"/>
      <w:textAlignment w:val="top"/>
    </w:pPr>
    <w:rPr>
      <w:rFonts w:ascii="宋体" w:hAnsi="宋体" w:cs="宋体"/>
      <w:b/>
      <w:bCs/>
      <w:color w:val="0060AD"/>
      <w:kern w:val="0"/>
      <w:szCs w:val="21"/>
    </w:rPr>
  </w:style>
  <w:style w:type="paragraph" w:customStyle="1" w:styleId="42">
    <w:name w:val="blue-table-text"/>
    <w:basedOn w:val="1"/>
    <w:qFormat/>
    <w:uiPriority w:val="99"/>
    <w:pPr>
      <w:widowControl/>
      <w:spacing w:before="100" w:beforeAutospacing="1" w:after="100" w:afterAutospacing="1"/>
      <w:ind w:firstLine="90"/>
      <w:jc w:val="left"/>
      <w:textAlignment w:val="top"/>
    </w:pPr>
    <w:rPr>
      <w:rFonts w:ascii="宋体" w:hAnsi="宋体" w:cs="宋体"/>
      <w:b/>
      <w:bCs/>
      <w:color w:val="0060AD"/>
      <w:kern w:val="0"/>
      <w:szCs w:val="21"/>
    </w:rPr>
  </w:style>
  <w:style w:type="paragraph" w:customStyle="1" w:styleId="43">
    <w:name w:val="blue-table-td"/>
    <w:basedOn w:val="1"/>
    <w:qFormat/>
    <w:uiPriority w:val="99"/>
    <w:pPr>
      <w:widowControl/>
      <w:pBdr>
        <w:top w:val="single" w:color="FFFFFF" w:sz="6" w:space="0"/>
        <w:left w:val="single" w:color="FFFFFF" w:sz="6" w:space="0"/>
        <w:bottom w:val="single" w:color="DFDFDF" w:sz="6" w:space="0"/>
        <w:right w:val="single" w:color="DFDFDF" w:sz="6" w:space="0"/>
      </w:pBdr>
      <w:shd w:val="clear" w:color="auto" w:fill="F8F8F8"/>
      <w:spacing w:before="100" w:beforeAutospacing="1" w:after="100" w:afterAutospacing="1" w:line="330" w:lineRule="atLeast"/>
      <w:jc w:val="center"/>
    </w:pPr>
    <w:rPr>
      <w:rFonts w:ascii="宋体" w:hAnsi="宋体" w:cs="宋体"/>
      <w:color w:val="444444"/>
      <w:kern w:val="0"/>
      <w:sz w:val="18"/>
      <w:szCs w:val="18"/>
    </w:rPr>
  </w:style>
  <w:style w:type="paragraph" w:customStyle="1" w:styleId="44">
    <w:name w:val="blue-table-td-left"/>
    <w:basedOn w:val="1"/>
    <w:qFormat/>
    <w:uiPriority w:val="99"/>
    <w:pPr>
      <w:widowControl/>
      <w:pBdr>
        <w:top w:val="single" w:color="FFFFFF" w:sz="6" w:space="0"/>
        <w:left w:val="single" w:color="FFFFFF" w:sz="6" w:space="0"/>
        <w:bottom w:val="single" w:color="DFDFDF" w:sz="6" w:space="0"/>
        <w:right w:val="single" w:color="DFDFDF" w:sz="6" w:space="0"/>
      </w:pBdr>
      <w:shd w:val="clear" w:color="auto" w:fill="F8F8F8"/>
      <w:spacing w:before="100" w:beforeAutospacing="1" w:after="100" w:afterAutospacing="1" w:line="330" w:lineRule="atLeast"/>
      <w:jc w:val="left"/>
    </w:pPr>
    <w:rPr>
      <w:rFonts w:ascii="宋体" w:hAnsi="宋体" w:cs="宋体"/>
      <w:color w:val="444444"/>
      <w:kern w:val="0"/>
      <w:sz w:val="18"/>
      <w:szCs w:val="18"/>
    </w:rPr>
  </w:style>
  <w:style w:type="paragraph" w:customStyle="1" w:styleId="45">
    <w:name w:val="xwgg-table"/>
    <w:basedOn w:val="1"/>
    <w:qFormat/>
    <w:uiPriority w:val="99"/>
    <w:pPr>
      <w:widowControl/>
      <w:pBdr>
        <w:top w:val="single" w:color="ABD5EB" w:sz="6" w:space="0"/>
        <w:left w:val="single" w:color="ABD5EB" w:sz="6" w:space="0"/>
        <w:right w:val="single" w:color="ABD5EB" w:sz="6" w:space="0"/>
      </w:pBdr>
      <w:shd w:val="clear" w:color="auto" w:fill="F2F7FD"/>
      <w:spacing w:before="100" w:beforeAutospacing="1" w:after="100" w:afterAutospacing="1"/>
      <w:jc w:val="left"/>
    </w:pPr>
    <w:rPr>
      <w:rFonts w:ascii="宋体" w:hAnsi="宋体" w:cs="宋体"/>
      <w:kern w:val="0"/>
      <w:sz w:val="24"/>
      <w:szCs w:val="24"/>
    </w:rPr>
  </w:style>
  <w:style w:type="paragraph" w:customStyle="1" w:styleId="46">
    <w:name w:val="xwgg-title"/>
    <w:basedOn w:val="1"/>
    <w:qFormat/>
    <w:uiPriority w:val="99"/>
    <w:pPr>
      <w:widowControl/>
      <w:spacing w:before="100" w:beforeAutospacing="1" w:after="100" w:afterAutospacing="1"/>
      <w:jc w:val="left"/>
    </w:pPr>
    <w:rPr>
      <w:rFonts w:ascii="宋体" w:hAnsi="宋体" w:cs="宋体"/>
      <w:b/>
      <w:bCs/>
      <w:color w:val="0060AD"/>
      <w:kern w:val="0"/>
      <w:szCs w:val="21"/>
    </w:rPr>
  </w:style>
  <w:style w:type="paragraph" w:customStyle="1" w:styleId="47">
    <w:name w:val="table-frame-or"/>
    <w:basedOn w:val="1"/>
    <w:autoRedefine/>
    <w:qFormat/>
    <w:uiPriority w:val="99"/>
    <w:pPr>
      <w:widowControl/>
      <w:pBdr>
        <w:left w:val="single" w:color="ABD1EB" w:sz="6" w:space="3"/>
        <w:bottom w:val="single" w:color="ABD1EB" w:sz="6" w:space="3"/>
        <w:right w:val="single" w:color="ABD1EB" w:sz="6" w:space="3"/>
      </w:pBdr>
      <w:spacing w:before="100" w:beforeAutospacing="1" w:after="100" w:afterAutospacing="1"/>
      <w:jc w:val="left"/>
    </w:pPr>
    <w:rPr>
      <w:rFonts w:ascii="宋体" w:hAnsi="宋体" w:cs="宋体"/>
      <w:kern w:val="0"/>
      <w:sz w:val="24"/>
      <w:szCs w:val="24"/>
    </w:rPr>
  </w:style>
  <w:style w:type="paragraph" w:customStyle="1" w:styleId="48">
    <w:name w:val="jdcaj-active"/>
    <w:basedOn w:val="1"/>
    <w:qFormat/>
    <w:uiPriority w:val="99"/>
    <w:pPr>
      <w:widowControl/>
      <w:pBdr>
        <w:top w:val="single" w:color="BDDCF1" w:sz="6" w:space="0"/>
        <w:left w:val="single" w:color="BDDCF1" w:sz="6" w:space="0"/>
        <w:right w:val="single" w:color="BDDCF1" w:sz="6" w:space="0"/>
      </w:pBdr>
      <w:spacing w:before="100" w:beforeAutospacing="1" w:after="100" w:afterAutospacing="1"/>
      <w:jc w:val="center"/>
    </w:pPr>
    <w:rPr>
      <w:rFonts w:ascii="宋体" w:hAnsi="宋体" w:cs="宋体"/>
      <w:color w:val="005FAE"/>
      <w:kern w:val="0"/>
      <w:sz w:val="18"/>
      <w:szCs w:val="18"/>
    </w:rPr>
  </w:style>
  <w:style w:type="paragraph" w:customStyle="1" w:styleId="49">
    <w:name w:val="jdcaj-normal"/>
    <w:basedOn w:val="1"/>
    <w:qFormat/>
    <w:uiPriority w:val="99"/>
    <w:pPr>
      <w:widowControl/>
      <w:pBdr>
        <w:top w:val="single" w:color="BDDCF1" w:sz="6" w:space="1"/>
        <w:left w:val="single" w:color="BDDCF1" w:sz="6" w:space="0"/>
        <w:bottom w:val="single" w:color="BDDCF1" w:sz="6" w:space="0"/>
        <w:right w:val="single" w:color="BDDCF1" w:sz="6" w:space="0"/>
      </w:pBdr>
      <w:spacing w:before="100" w:beforeAutospacing="1" w:after="100" w:afterAutospacing="1"/>
      <w:jc w:val="center"/>
    </w:pPr>
    <w:rPr>
      <w:rFonts w:ascii="宋体" w:hAnsi="宋体" w:cs="宋体"/>
      <w:color w:val="444444"/>
      <w:kern w:val="0"/>
      <w:sz w:val="18"/>
      <w:szCs w:val="18"/>
    </w:rPr>
  </w:style>
  <w:style w:type="paragraph" w:customStyle="1" w:styleId="50">
    <w:name w:val="ny-middle-title-bg"/>
    <w:basedOn w:val="1"/>
    <w:qFormat/>
    <w:uiPriority w:val="99"/>
    <w:pPr>
      <w:widowControl/>
      <w:pBdr>
        <w:right w:val="single" w:color="BEDCF1" w:sz="6" w:space="0"/>
      </w:pBdr>
      <w:spacing w:before="100" w:beforeAutospacing="1" w:after="100" w:afterAutospacing="1"/>
      <w:jc w:val="left"/>
    </w:pPr>
    <w:rPr>
      <w:rFonts w:ascii="宋体" w:hAnsi="宋体" w:cs="宋体"/>
      <w:kern w:val="0"/>
      <w:sz w:val="24"/>
      <w:szCs w:val="24"/>
    </w:rPr>
  </w:style>
  <w:style w:type="paragraph" w:customStyle="1" w:styleId="51">
    <w:name w:val="l-blue"/>
    <w:basedOn w:val="1"/>
    <w:qFormat/>
    <w:uiPriority w:val="99"/>
    <w:pPr>
      <w:widowControl/>
      <w:spacing w:before="100" w:beforeAutospacing="1" w:after="100" w:afterAutospacing="1"/>
      <w:jc w:val="left"/>
    </w:pPr>
    <w:rPr>
      <w:rFonts w:ascii="宋体" w:hAnsi="宋体" w:cs="宋体"/>
      <w:b/>
      <w:bCs/>
      <w:color w:val="005FAE"/>
      <w:kern w:val="0"/>
      <w:sz w:val="18"/>
      <w:szCs w:val="18"/>
    </w:rPr>
  </w:style>
  <w:style w:type="paragraph" w:customStyle="1" w:styleId="52">
    <w:name w:val="l-blue-common"/>
    <w:basedOn w:val="1"/>
    <w:qFormat/>
    <w:uiPriority w:val="99"/>
    <w:pPr>
      <w:widowControl/>
      <w:spacing w:before="100" w:beforeAutospacing="1" w:after="100" w:afterAutospacing="1"/>
      <w:jc w:val="left"/>
    </w:pPr>
    <w:rPr>
      <w:rFonts w:ascii="宋体" w:hAnsi="宋体" w:cs="宋体"/>
      <w:color w:val="333333"/>
      <w:kern w:val="0"/>
      <w:sz w:val="18"/>
      <w:szCs w:val="18"/>
    </w:rPr>
  </w:style>
  <w:style w:type="paragraph" w:customStyle="1" w:styleId="53">
    <w:name w:val="l-blue-1"/>
    <w:basedOn w:val="1"/>
    <w:qFormat/>
    <w:uiPriority w:val="99"/>
    <w:pPr>
      <w:widowControl/>
      <w:spacing w:before="100" w:beforeAutospacing="1" w:after="100" w:afterAutospacing="1"/>
      <w:jc w:val="left"/>
    </w:pPr>
    <w:rPr>
      <w:rFonts w:ascii="宋体" w:hAnsi="宋体" w:cs="宋体"/>
      <w:b/>
      <w:bCs/>
      <w:color w:val="005FAE"/>
      <w:kern w:val="0"/>
      <w:sz w:val="18"/>
      <w:szCs w:val="18"/>
    </w:rPr>
  </w:style>
  <w:style w:type="paragraph" w:customStyle="1" w:styleId="54">
    <w:name w:val="l-blue-common-1"/>
    <w:basedOn w:val="1"/>
    <w:qFormat/>
    <w:uiPriority w:val="99"/>
    <w:pPr>
      <w:widowControl/>
      <w:spacing w:before="100" w:beforeAutospacing="1" w:after="100" w:afterAutospacing="1"/>
      <w:jc w:val="left"/>
    </w:pPr>
    <w:rPr>
      <w:rFonts w:ascii="宋体" w:hAnsi="宋体" w:cs="宋体"/>
      <w:color w:val="333333"/>
      <w:kern w:val="0"/>
      <w:sz w:val="18"/>
      <w:szCs w:val="18"/>
    </w:rPr>
  </w:style>
  <w:style w:type="paragraph" w:customStyle="1" w:styleId="55">
    <w:name w:val="blue-bottom-line"/>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56">
    <w:name w:val="title-752"/>
    <w:basedOn w:val="1"/>
    <w:qFormat/>
    <w:uiPriority w:val="99"/>
    <w:pPr>
      <w:widowControl/>
      <w:pBdr>
        <w:left w:val="single" w:color="BEDCF1" w:sz="6" w:space="0"/>
        <w:right w:val="single" w:color="BEDCF1" w:sz="6" w:space="0"/>
      </w:pBdr>
      <w:spacing w:before="100" w:beforeAutospacing="1" w:after="100" w:afterAutospacing="1" w:line="435" w:lineRule="atLeast"/>
      <w:jc w:val="left"/>
      <w:textAlignment w:val="bottom"/>
    </w:pPr>
    <w:rPr>
      <w:rFonts w:ascii="宋体" w:hAnsi="宋体" w:cs="宋体"/>
      <w:b/>
      <w:bCs/>
      <w:color w:val="005FAE"/>
      <w:kern w:val="0"/>
      <w:szCs w:val="21"/>
    </w:rPr>
  </w:style>
  <w:style w:type="paragraph" w:customStyle="1" w:styleId="57">
    <w:name w:val="blue-lable"/>
    <w:basedOn w:val="1"/>
    <w:qFormat/>
    <w:uiPriority w:val="99"/>
    <w:pPr>
      <w:widowControl/>
      <w:spacing w:before="100" w:beforeAutospacing="1" w:after="100" w:afterAutospacing="1"/>
      <w:jc w:val="center"/>
      <w:textAlignment w:val="bottom"/>
    </w:pPr>
    <w:rPr>
      <w:rFonts w:ascii="宋体" w:hAnsi="宋体" w:cs="宋体"/>
      <w:b/>
      <w:bCs/>
      <w:color w:val="005FAE"/>
      <w:kern w:val="0"/>
      <w:sz w:val="18"/>
      <w:szCs w:val="18"/>
    </w:rPr>
  </w:style>
  <w:style w:type="paragraph" w:customStyle="1" w:styleId="58">
    <w:name w:val="blue-lable-common"/>
    <w:basedOn w:val="1"/>
    <w:autoRedefine/>
    <w:qFormat/>
    <w:uiPriority w:val="99"/>
    <w:pPr>
      <w:widowControl/>
      <w:spacing w:before="100" w:beforeAutospacing="1" w:after="100" w:afterAutospacing="1"/>
      <w:jc w:val="center"/>
      <w:textAlignment w:val="bottom"/>
    </w:pPr>
    <w:rPr>
      <w:rFonts w:ascii="宋体" w:hAnsi="宋体" w:cs="宋体"/>
      <w:color w:val="333333"/>
      <w:kern w:val="0"/>
      <w:sz w:val="18"/>
      <w:szCs w:val="18"/>
    </w:rPr>
  </w:style>
  <w:style w:type="paragraph" w:customStyle="1" w:styleId="59">
    <w:name w:val="grey-table-grey"/>
    <w:basedOn w:val="1"/>
    <w:qFormat/>
    <w:uiPriority w:val="99"/>
    <w:pPr>
      <w:widowControl/>
      <w:pBdr>
        <w:top w:val="single" w:color="CCCCCC" w:sz="6" w:space="1"/>
        <w:left w:val="single" w:color="CCCCCC" w:sz="6" w:space="1"/>
        <w:bottom w:val="single" w:color="CCCCCC" w:sz="6" w:space="0"/>
        <w:right w:val="single" w:color="CCCCCC" w:sz="6" w:space="1"/>
      </w:pBdr>
      <w:shd w:val="clear" w:color="auto" w:fill="FAFAFA"/>
      <w:spacing w:before="100" w:beforeAutospacing="1" w:after="100" w:afterAutospacing="1"/>
      <w:jc w:val="left"/>
    </w:pPr>
    <w:rPr>
      <w:rFonts w:ascii="宋体" w:hAnsi="宋体" w:cs="宋体"/>
      <w:kern w:val="0"/>
      <w:sz w:val="24"/>
      <w:szCs w:val="24"/>
    </w:rPr>
  </w:style>
  <w:style w:type="paragraph" w:customStyle="1" w:styleId="60">
    <w:name w:val="right-230"/>
    <w:basedOn w:val="1"/>
    <w:qFormat/>
    <w:uiPriority w:val="99"/>
    <w:pPr>
      <w:widowControl/>
      <w:pBdr>
        <w:top w:val="single" w:color="CCCCCC" w:sz="6" w:space="3"/>
        <w:left w:val="single" w:color="CCCCCC" w:sz="6" w:space="3"/>
        <w:bottom w:val="single" w:color="CCCCCC" w:sz="6" w:space="3"/>
        <w:right w:val="single" w:color="CCCCCC" w:sz="6" w:space="3"/>
      </w:pBdr>
      <w:shd w:val="clear" w:color="auto" w:fill="FAFAFA"/>
      <w:spacing w:before="100" w:beforeAutospacing="1" w:after="100" w:afterAutospacing="1"/>
      <w:jc w:val="left"/>
    </w:pPr>
    <w:rPr>
      <w:rFonts w:ascii="宋体" w:hAnsi="宋体" w:cs="宋体"/>
      <w:kern w:val="0"/>
      <w:sz w:val="24"/>
      <w:szCs w:val="24"/>
    </w:rPr>
  </w:style>
  <w:style w:type="paragraph" w:customStyle="1" w:styleId="61">
    <w:name w:val="bszx-240"/>
    <w:basedOn w:val="1"/>
    <w:qFormat/>
    <w:uiPriority w:val="99"/>
    <w:pPr>
      <w:widowControl/>
      <w:pBdr>
        <w:top w:val="single" w:color="CCCCCC" w:sz="6" w:space="3"/>
        <w:left w:val="single" w:color="CCCCCC" w:sz="6" w:space="3"/>
        <w:bottom w:val="single" w:color="CCCCCC" w:sz="6" w:space="3"/>
        <w:right w:val="single" w:color="CCCCCC" w:sz="6" w:space="3"/>
      </w:pBdr>
      <w:shd w:val="clear" w:color="auto" w:fill="FAFAFA"/>
      <w:spacing w:before="100" w:beforeAutospacing="1" w:after="100" w:afterAutospacing="1"/>
      <w:jc w:val="left"/>
    </w:pPr>
    <w:rPr>
      <w:rFonts w:ascii="宋体" w:hAnsi="宋体" w:cs="宋体"/>
      <w:kern w:val="0"/>
      <w:sz w:val="24"/>
      <w:szCs w:val="24"/>
    </w:rPr>
  </w:style>
  <w:style w:type="paragraph" w:customStyle="1" w:styleId="62">
    <w:name w:val="bszx-230"/>
    <w:basedOn w:val="1"/>
    <w:qFormat/>
    <w:uiPriority w:val="99"/>
    <w:pPr>
      <w:widowControl/>
      <w:pBdr>
        <w:top w:val="single" w:color="CCCCCC" w:sz="6" w:space="3"/>
        <w:left w:val="single" w:color="CCCCCC" w:sz="6" w:space="3"/>
        <w:bottom w:val="single" w:color="CCCCCC" w:sz="6" w:space="3"/>
        <w:right w:val="single" w:color="CCCCCC" w:sz="6" w:space="3"/>
      </w:pBdr>
      <w:shd w:val="clear" w:color="auto" w:fill="FAFAFA"/>
      <w:spacing w:before="100" w:beforeAutospacing="1" w:after="100" w:afterAutospacing="1"/>
      <w:jc w:val="left"/>
    </w:pPr>
    <w:rPr>
      <w:rFonts w:ascii="宋体" w:hAnsi="宋体" w:cs="宋体"/>
      <w:kern w:val="0"/>
      <w:sz w:val="24"/>
      <w:szCs w:val="24"/>
    </w:rPr>
  </w:style>
  <w:style w:type="paragraph" w:customStyle="1" w:styleId="63">
    <w:name w:val="left-flash"/>
    <w:basedOn w:val="1"/>
    <w:qFormat/>
    <w:uiPriority w:val="99"/>
    <w:pPr>
      <w:widowControl/>
      <w:pBdr>
        <w:top w:val="single" w:color="CCCCCC" w:sz="6" w:space="3"/>
        <w:left w:val="single" w:color="CCCCCC" w:sz="6" w:space="3"/>
        <w:bottom w:val="single" w:color="CCCCCC" w:sz="6" w:space="3"/>
        <w:right w:val="single" w:color="CCCCCC" w:sz="6" w:space="3"/>
      </w:pBdr>
      <w:shd w:val="clear" w:color="auto" w:fill="FAFAFA"/>
      <w:spacing w:before="100" w:beforeAutospacing="1" w:after="135"/>
      <w:jc w:val="left"/>
    </w:pPr>
    <w:rPr>
      <w:rFonts w:ascii="宋体" w:hAnsi="宋体" w:cs="宋体"/>
      <w:kern w:val="0"/>
      <w:sz w:val="24"/>
      <w:szCs w:val="24"/>
    </w:rPr>
  </w:style>
  <w:style w:type="paragraph" w:customStyle="1" w:styleId="64">
    <w:name w:val="left-h160"/>
    <w:basedOn w:val="1"/>
    <w:qFormat/>
    <w:uiPriority w:val="99"/>
    <w:pPr>
      <w:widowControl/>
      <w:pBdr>
        <w:top w:val="single" w:color="CCCCCC" w:sz="6" w:space="3"/>
        <w:left w:val="single" w:color="CCCCCC" w:sz="6" w:space="3"/>
        <w:bottom w:val="single" w:color="CCCCCC" w:sz="6" w:space="3"/>
        <w:right w:val="single" w:color="CCCCCC" w:sz="6" w:space="3"/>
      </w:pBdr>
      <w:spacing w:before="100" w:beforeAutospacing="1" w:after="100" w:afterAutospacing="1"/>
      <w:jc w:val="left"/>
    </w:pPr>
    <w:rPr>
      <w:rFonts w:ascii="宋体" w:hAnsi="宋体" w:cs="宋体"/>
      <w:kern w:val="0"/>
      <w:sz w:val="24"/>
      <w:szCs w:val="24"/>
    </w:rPr>
  </w:style>
  <w:style w:type="paragraph" w:customStyle="1" w:styleId="65">
    <w:name w:val="left-280"/>
    <w:basedOn w:val="1"/>
    <w:qFormat/>
    <w:uiPriority w:val="99"/>
    <w:pPr>
      <w:widowControl/>
      <w:pBdr>
        <w:top w:val="single" w:color="CCCCCC" w:sz="6" w:space="3"/>
        <w:left w:val="single" w:color="CCCCCC" w:sz="6" w:space="3"/>
        <w:bottom w:val="single" w:color="CCCCCC" w:sz="6" w:space="3"/>
        <w:right w:val="single" w:color="CCCCCC" w:sz="6" w:space="3"/>
      </w:pBdr>
      <w:spacing w:before="100" w:beforeAutospacing="1" w:after="100" w:afterAutospacing="1"/>
      <w:jc w:val="left"/>
    </w:pPr>
    <w:rPr>
      <w:rFonts w:ascii="宋体" w:hAnsi="宋体" w:cs="宋体"/>
      <w:kern w:val="0"/>
      <w:sz w:val="24"/>
      <w:szCs w:val="24"/>
    </w:rPr>
  </w:style>
  <w:style w:type="paragraph" w:customStyle="1" w:styleId="66">
    <w:name w:val="lable-bg"/>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67">
    <w:name w:val="qc-bg"/>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68">
    <w:name w:val="middle-lable"/>
    <w:basedOn w:val="1"/>
    <w:qFormat/>
    <w:uiPriority w:val="99"/>
    <w:pPr>
      <w:widowControl/>
      <w:spacing w:before="100" w:beforeAutospacing="1" w:after="100" w:afterAutospacing="1" w:line="390" w:lineRule="atLeast"/>
      <w:ind w:firstLine="375"/>
      <w:jc w:val="left"/>
      <w:textAlignment w:val="bottom"/>
    </w:pPr>
    <w:rPr>
      <w:rFonts w:ascii="宋体" w:hAnsi="宋体" w:cs="宋体"/>
      <w:b/>
      <w:bCs/>
      <w:color w:val="FFFFFF"/>
      <w:kern w:val="0"/>
      <w:szCs w:val="21"/>
    </w:rPr>
  </w:style>
  <w:style w:type="paragraph" w:customStyle="1" w:styleId="69">
    <w:name w:val="middle-lable-com"/>
    <w:basedOn w:val="1"/>
    <w:qFormat/>
    <w:uiPriority w:val="99"/>
    <w:pPr>
      <w:widowControl/>
      <w:spacing w:before="100" w:beforeAutospacing="1" w:after="100" w:afterAutospacing="1"/>
      <w:jc w:val="center"/>
      <w:textAlignment w:val="bottom"/>
    </w:pPr>
    <w:rPr>
      <w:rFonts w:ascii="宋体" w:hAnsi="宋体" w:cs="宋体"/>
      <w:b/>
      <w:bCs/>
      <w:color w:val="1772BB"/>
      <w:kern w:val="0"/>
      <w:sz w:val="18"/>
      <w:szCs w:val="18"/>
    </w:rPr>
  </w:style>
  <w:style w:type="paragraph" w:customStyle="1" w:styleId="70">
    <w:name w:val="middle-lable-com-1"/>
    <w:basedOn w:val="1"/>
    <w:qFormat/>
    <w:uiPriority w:val="99"/>
    <w:pPr>
      <w:widowControl/>
      <w:spacing w:before="100" w:beforeAutospacing="1" w:after="100" w:afterAutospacing="1"/>
      <w:jc w:val="center"/>
      <w:textAlignment w:val="bottom"/>
    </w:pPr>
    <w:rPr>
      <w:rFonts w:ascii="宋体" w:hAnsi="宋体" w:cs="宋体"/>
      <w:b/>
      <w:bCs/>
      <w:color w:val="FFFFFF"/>
      <w:kern w:val="0"/>
      <w:sz w:val="18"/>
      <w:szCs w:val="18"/>
    </w:rPr>
  </w:style>
  <w:style w:type="paragraph" w:customStyle="1" w:styleId="71">
    <w:name w:val="middle-title"/>
    <w:basedOn w:val="1"/>
    <w:qFormat/>
    <w:uiPriority w:val="99"/>
    <w:pPr>
      <w:widowControl/>
      <w:spacing w:before="100" w:beforeAutospacing="1" w:after="100" w:afterAutospacing="1" w:line="390" w:lineRule="atLeast"/>
      <w:ind w:firstLine="420"/>
      <w:jc w:val="left"/>
      <w:textAlignment w:val="bottom"/>
    </w:pPr>
    <w:rPr>
      <w:rFonts w:ascii="宋体" w:hAnsi="宋体" w:cs="宋体"/>
      <w:b/>
      <w:bCs/>
      <w:color w:val="FFFFFF"/>
      <w:kern w:val="0"/>
      <w:szCs w:val="21"/>
    </w:rPr>
  </w:style>
  <w:style w:type="paragraph" w:customStyle="1" w:styleId="72">
    <w:name w:val="middle-title-1"/>
    <w:basedOn w:val="1"/>
    <w:qFormat/>
    <w:uiPriority w:val="99"/>
    <w:pPr>
      <w:widowControl/>
      <w:spacing w:before="100" w:beforeAutospacing="1" w:after="100" w:afterAutospacing="1" w:line="435" w:lineRule="atLeast"/>
      <w:ind w:firstLine="420"/>
      <w:jc w:val="left"/>
      <w:textAlignment w:val="bottom"/>
    </w:pPr>
    <w:rPr>
      <w:rFonts w:ascii="宋体" w:hAnsi="宋体" w:cs="宋体"/>
      <w:b/>
      <w:bCs/>
      <w:color w:val="FFFFFF"/>
      <w:kern w:val="0"/>
      <w:szCs w:val="21"/>
    </w:rPr>
  </w:style>
  <w:style w:type="paragraph" w:customStyle="1" w:styleId="73">
    <w:name w:val="middle-blue-line"/>
    <w:basedOn w:val="1"/>
    <w:qFormat/>
    <w:uiPriority w:val="99"/>
    <w:pPr>
      <w:widowControl/>
      <w:pBdr>
        <w:left w:val="single" w:color="ABD5EB" w:sz="6" w:space="0"/>
        <w:bottom w:val="single" w:color="ABD5EB" w:sz="6" w:space="3"/>
        <w:right w:val="single" w:color="ABD5EB" w:sz="6" w:space="0"/>
      </w:pBdr>
      <w:spacing w:before="100" w:beforeAutospacing="1" w:after="100" w:afterAutospacing="1"/>
      <w:jc w:val="left"/>
    </w:pPr>
    <w:rPr>
      <w:rFonts w:ascii="宋体" w:hAnsi="宋体" w:cs="宋体"/>
      <w:kern w:val="0"/>
      <w:sz w:val="24"/>
      <w:szCs w:val="24"/>
    </w:rPr>
  </w:style>
  <w:style w:type="paragraph" w:customStyle="1" w:styleId="74">
    <w:name w:val="middle-blue-line-all"/>
    <w:basedOn w:val="1"/>
    <w:qFormat/>
    <w:uiPriority w:val="99"/>
    <w:pPr>
      <w:widowControl/>
      <w:pBdr>
        <w:top w:val="single" w:color="ABD5EB" w:sz="6" w:space="0"/>
        <w:left w:val="single" w:color="ABD5EB" w:sz="6" w:space="0"/>
        <w:bottom w:val="single" w:color="ABD5EB" w:sz="6" w:space="3"/>
        <w:right w:val="single" w:color="ABD5EB" w:sz="6" w:space="0"/>
      </w:pBdr>
      <w:spacing w:before="100" w:beforeAutospacing="1" w:after="100" w:afterAutospacing="1"/>
      <w:jc w:val="left"/>
    </w:pPr>
    <w:rPr>
      <w:rFonts w:ascii="宋体" w:hAnsi="宋体" w:cs="宋体"/>
      <w:kern w:val="0"/>
      <w:sz w:val="24"/>
      <w:szCs w:val="24"/>
    </w:rPr>
  </w:style>
  <w:style w:type="paragraph" w:customStyle="1" w:styleId="75">
    <w:name w:val="blue-type"/>
    <w:basedOn w:val="1"/>
    <w:qFormat/>
    <w:uiPriority w:val="99"/>
    <w:pPr>
      <w:widowControl/>
      <w:pBdr>
        <w:bottom w:val="single" w:color="D1E6F5" w:sz="6" w:space="0"/>
      </w:pBdr>
      <w:shd w:val="clear" w:color="auto" w:fill="F7FDFF"/>
      <w:spacing w:before="100" w:beforeAutospacing="1" w:after="100" w:afterAutospacing="1"/>
      <w:jc w:val="left"/>
    </w:pPr>
    <w:rPr>
      <w:rFonts w:ascii="宋体" w:hAnsi="宋体" w:cs="宋体"/>
      <w:color w:val="2482BF"/>
      <w:kern w:val="0"/>
      <w:sz w:val="18"/>
      <w:szCs w:val="18"/>
    </w:rPr>
  </w:style>
  <w:style w:type="paragraph" w:customStyle="1" w:styleId="76">
    <w:name w:val="blue-bstd-type"/>
    <w:basedOn w:val="1"/>
    <w:qFormat/>
    <w:uiPriority w:val="99"/>
    <w:pPr>
      <w:widowControl/>
      <w:pBdr>
        <w:bottom w:val="single" w:color="D1E6F5" w:sz="6" w:space="0"/>
      </w:pBdr>
      <w:shd w:val="clear" w:color="auto" w:fill="F7FDFF"/>
      <w:spacing w:before="100" w:beforeAutospacing="1" w:after="100" w:afterAutospacing="1"/>
      <w:jc w:val="left"/>
    </w:pPr>
    <w:rPr>
      <w:rFonts w:ascii="宋体" w:hAnsi="宋体" w:cs="宋体"/>
      <w:color w:val="2482BF"/>
      <w:kern w:val="0"/>
      <w:sz w:val="18"/>
      <w:szCs w:val="18"/>
    </w:rPr>
  </w:style>
  <w:style w:type="paragraph" w:customStyle="1" w:styleId="77">
    <w:name w:val="blue-bstd-active"/>
    <w:basedOn w:val="1"/>
    <w:qFormat/>
    <w:uiPriority w:val="99"/>
    <w:pPr>
      <w:widowControl/>
      <w:shd w:val="clear" w:color="auto" w:fill="D1E6F5"/>
      <w:spacing w:before="100" w:beforeAutospacing="1" w:after="100" w:afterAutospacing="1"/>
      <w:jc w:val="left"/>
    </w:pPr>
    <w:rPr>
      <w:rFonts w:ascii="宋体" w:hAnsi="宋体" w:cs="宋体"/>
      <w:b/>
      <w:bCs/>
      <w:color w:val="2482BF"/>
      <w:kern w:val="0"/>
      <w:szCs w:val="21"/>
    </w:rPr>
  </w:style>
  <w:style w:type="paragraph" w:customStyle="1" w:styleId="78">
    <w:name w:val="blue-bstd"/>
    <w:basedOn w:val="1"/>
    <w:qFormat/>
    <w:uiPriority w:val="99"/>
    <w:pPr>
      <w:widowControl/>
      <w:spacing w:before="100" w:beforeAutospacing="1" w:after="100" w:afterAutospacing="1"/>
      <w:jc w:val="left"/>
    </w:pPr>
    <w:rPr>
      <w:rFonts w:ascii="宋体" w:hAnsi="宋体" w:cs="宋体"/>
      <w:color w:val="2482BF"/>
      <w:kern w:val="0"/>
      <w:sz w:val="18"/>
      <w:szCs w:val="18"/>
    </w:rPr>
  </w:style>
  <w:style w:type="paragraph" w:customStyle="1" w:styleId="79">
    <w:name w:val="grey-content-bg"/>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80">
    <w:name w:val="left-title"/>
    <w:basedOn w:val="1"/>
    <w:qFormat/>
    <w:uiPriority w:val="99"/>
    <w:pPr>
      <w:widowControl/>
      <w:spacing w:before="100" w:beforeAutospacing="1" w:after="100" w:afterAutospacing="1"/>
      <w:ind w:firstLine="90"/>
      <w:jc w:val="left"/>
      <w:textAlignment w:val="center"/>
    </w:pPr>
    <w:rPr>
      <w:rFonts w:ascii="宋体" w:hAnsi="宋体" w:cs="宋体"/>
      <w:b/>
      <w:bCs/>
      <w:color w:val="FFFFFF"/>
      <w:kern w:val="0"/>
      <w:szCs w:val="21"/>
    </w:rPr>
  </w:style>
  <w:style w:type="paragraph" w:customStyle="1" w:styleId="81">
    <w:name w:val="middle-yellow-title"/>
    <w:basedOn w:val="1"/>
    <w:qFormat/>
    <w:uiPriority w:val="99"/>
    <w:pPr>
      <w:widowControl/>
      <w:spacing w:before="100" w:beforeAutospacing="1" w:after="100" w:afterAutospacing="1" w:line="390" w:lineRule="atLeast"/>
      <w:ind w:firstLine="420"/>
      <w:jc w:val="left"/>
      <w:textAlignment w:val="bottom"/>
    </w:pPr>
    <w:rPr>
      <w:rFonts w:ascii="宋体" w:hAnsi="宋体" w:cs="宋体"/>
      <w:b/>
      <w:bCs/>
      <w:color w:val="FFFFFF"/>
      <w:kern w:val="0"/>
      <w:szCs w:val="21"/>
    </w:rPr>
  </w:style>
  <w:style w:type="paragraph" w:customStyle="1" w:styleId="82">
    <w:name w:val="middle-yellow-line"/>
    <w:basedOn w:val="1"/>
    <w:qFormat/>
    <w:uiPriority w:val="99"/>
    <w:pPr>
      <w:widowControl/>
      <w:pBdr>
        <w:left w:val="single" w:color="FFE2BB" w:sz="6" w:space="0"/>
        <w:bottom w:val="single" w:color="FFE2BB" w:sz="6" w:space="2"/>
        <w:right w:val="single" w:color="FFE2BB" w:sz="6" w:space="0"/>
      </w:pBdr>
      <w:spacing w:before="100" w:beforeAutospacing="1" w:after="100" w:afterAutospacing="1"/>
      <w:jc w:val="left"/>
    </w:pPr>
    <w:rPr>
      <w:rFonts w:ascii="宋体" w:hAnsi="宋体" w:cs="宋体"/>
      <w:kern w:val="0"/>
      <w:sz w:val="24"/>
      <w:szCs w:val="24"/>
    </w:rPr>
  </w:style>
  <w:style w:type="paragraph" w:customStyle="1" w:styleId="83">
    <w:name w:val="yellow-type"/>
    <w:basedOn w:val="1"/>
    <w:qFormat/>
    <w:uiPriority w:val="99"/>
    <w:pPr>
      <w:widowControl/>
      <w:pBdr>
        <w:bottom w:val="single" w:color="FFE2BB" w:sz="6" w:space="0"/>
      </w:pBdr>
      <w:shd w:val="clear" w:color="auto" w:fill="FFFAF0"/>
      <w:spacing w:before="100" w:beforeAutospacing="1" w:after="100" w:afterAutospacing="1"/>
      <w:jc w:val="left"/>
    </w:pPr>
    <w:rPr>
      <w:rFonts w:ascii="宋体" w:hAnsi="宋体" w:cs="宋体"/>
      <w:kern w:val="0"/>
      <w:sz w:val="24"/>
      <w:szCs w:val="24"/>
    </w:rPr>
  </w:style>
  <w:style w:type="paragraph" w:customStyle="1" w:styleId="84">
    <w:name w:val="lable-blue"/>
    <w:basedOn w:val="1"/>
    <w:qFormat/>
    <w:uiPriority w:val="99"/>
    <w:pPr>
      <w:widowControl/>
      <w:spacing w:before="100" w:beforeAutospacing="1" w:after="100" w:afterAutospacing="1"/>
      <w:jc w:val="center"/>
      <w:textAlignment w:val="center"/>
    </w:pPr>
    <w:rPr>
      <w:rFonts w:ascii="宋体" w:hAnsi="宋体" w:cs="宋体"/>
      <w:b/>
      <w:bCs/>
      <w:color w:val="FFFFFF"/>
      <w:kern w:val="0"/>
      <w:sz w:val="18"/>
      <w:szCs w:val="18"/>
    </w:rPr>
  </w:style>
  <w:style w:type="paragraph" w:customStyle="1" w:styleId="85">
    <w:name w:val="lable-grey"/>
    <w:basedOn w:val="1"/>
    <w:qFormat/>
    <w:uiPriority w:val="99"/>
    <w:pPr>
      <w:widowControl/>
      <w:spacing w:before="100" w:beforeAutospacing="1" w:after="100" w:afterAutospacing="1"/>
      <w:jc w:val="center"/>
      <w:textAlignment w:val="center"/>
    </w:pPr>
    <w:rPr>
      <w:rFonts w:ascii="宋体" w:hAnsi="宋体" w:cs="宋体"/>
      <w:b/>
      <w:bCs/>
      <w:color w:val="333333"/>
      <w:kern w:val="0"/>
      <w:sz w:val="18"/>
      <w:szCs w:val="18"/>
    </w:rPr>
  </w:style>
  <w:style w:type="paragraph" w:customStyle="1" w:styleId="86">
    <w:name w:val="blue-frame"/>
    <w:basedOn w:val="1"/>
    <w:qFormat/>
    <w:uiPriority w:val="99"/>
    <w:pPr>
      <w:widowControl/>
      <w:pBdr>
        <w:top w:val="single" w:color="99CCEB" w:sz="6" w:space="4"/>
        <w:left w:val="single" w:color="99CCEB" w:sz="6" w:space="4"/>
        <w:bottom w:val="single" w:color="99CCEB" w:sz="6" w:space="4"/>
        <w:right w:val="single" w:color="99CCEB" w:sz="6" w:space="4"/>
      </w:pBdr>
      <w:spacing w:before="100" w:beforeAutospacing="1" w:after="100" w:afterAutospacing="1" w:line="330" w:lineRule="atLeast"/>
      <w:jc w:val="left"/>
    </w:pPr>
    <w:rPr>
      <w:rFonts w:ascii="宋体" w:hAnsi="宋体" w:cs="宋体"/>
      <w:kern w:val="0"/>
      <w:sz w:val="24"/>
      <w:szCs w:val="24"/>
    </w:rPr>
  </w:style>
  <w:style w:type="paragraph" w:customStyle="1" w:styleId="87">
    <w:name w:val="left-frame"/>
    <w:basedOn w:val="1"/>
    <w:qFormat/>
    <w:uiPriority w:val="99"/>
    <w:pPr>
      <w:widowControl/>
      <w:spacing w:before="100" w:beforeAutospacing="1" w:after="100" w:afterAutospacing="1" w:line="330" w:lineRule="atLeast"/>
      <w:jc w:val="left"/>
    </w:pPr>
    <w:rPr>
      <w:rFonts w:ascii="宋体" w:hAnsi="宋体" w:cs="宋体"/>
      <w:kern w:val="0"/>
      <w:sz w:val="24"/>
      <w:szCs w:val="24"/>
    </w:rPr>
  </w:style>
  <w:style w:type="paragraph" w:customStyle="1" w:styleId="88">
    <w:name w:val="xxgk-bg"/>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89">
    <w:name w:val="ph-title"/>
    <w:basedOn w:val="1"/>
    <w:qFormat/>
    <w:uiPriority w:val="99"/>
    <w:pPr>
      <w:widowControl/>
      <w:spacing w:before="100" w:beforeAutospacing="1" w:after="100" w:afterAutospacing="1"/>
      <w:jc w:val="left"/>
      <w:textAlignment w:val="bottom"/>
    </w:pPr>
    <w:rPr>
      <w:rFonts w:ascii="宋体" w:hAnsi="宋体" w:cs="宋体"/>
      <w:kern w:val="0"/>
      <w:sz w:val="24"/>
      <w:szCs w:val="24"/>
    </w:rPr>
  </w:style>
  <w:style w:type="paragraph" w:customStyle="1" w:styleId="90">
    <w:name w:val="active-blue"/>
    <w:basedOn w:val="1"/>
    <w:qFormat/>
    <w:uiPriority w:val="99"/>
    <w:pPr>
      <w:widowControl/>
      <w:shd w:val="clear" w:color="auto" w:fill="3075B4"/>
      <w:spacing w:before="100" w:beforeAutospacing="1" w:after="100" w:afterAutospacing="1"/>
      <w:jc w:val="left"/>
      <w:textAlignment w:val="bottom"/>
    </w:pPr>
    <w:rPr>
      <w:rFonts w:ascii="宋体" w:hAnsi="宋体" w:cs="宋体"/>
      <w:color w:val="FFFFFF"/>
      <w:kern w:val="0"/>
      <w:sz w:val="24"/>
      <w:szCs w:val="24"/>
    </w:rPr>
  </w:style>
  <w:style w:type="paragraph" w:customStyle="1" w:styleId="91">
    <w:name w:val="normal-blue"/>
    <w:basedOn w:val="1"/>
    <w:qFormat/>
    <w:uiPriority w:val="99"/>
    <w:pPr>
      <w:widowControl/>
      <w:spacing w:before="100" w:beforeAutospacing="1" w:after="100" w:afterAutospacing="1"/>
      <w:jc w:val="left"/>
      <w:textAlignment w:val="bottom"/>
    </w:pPr>
    <w:rPr>
      <w:rFonts w:ascii="宋体" w:hAnsi="宋体" w:cs="宋体"/>
      <w:color w:val="FFFFFF"/>
      <w:kern w:val="0"/>
      <w:sz w:val="24"/>
      <w:szCs w:val="24"/>
    </w:rPr>
  </w:style>
  <w:style w:type="paragraph" w:customStyle="1" w:styleId="92">
    <w:name w:val="normal-blue-1"/>
    <w:basedOn w:val="1"/>
    <w:qFormat/>
    <w:uiPriority w:val="99"/>
    <w:pPr>
      <w:widowControl/>
      <w:spacing w:before="100" w:beforeAutospacing="1" w:after="100" w:afterAutospacing="1"/>
      <w:jc w:val="left"/>
      <w:textAlignment w:val="bottom"/>
    </w:pPr>
    <w:rPr>
      <w:rFonts w:ascii="宋体" w:hAnsi="宋体" w:cs="宋体"/>
      <w:color w:val="3075B4"/>
      <w:kern w:val="0"/>
      <w:sz w:val="24"/>
      <w:szCs w:val="24"/>
    </w:rPr>
  </w:style>
  <w:style w:type="paragraph" w:customStyle="1" w:styleId="93">
    <w:name w:val="right-title"/>
    <w:basedOn w:val="1"/>
    <w:autoRedefine/>
    <w:qFormat/>
    <w:uiPriority w:val="99"/>
    <w:pPr>
      <w:widowControl/>
      <w:spacing w:before="100" w:beforeAutospacing="1" w:after="100" w:afterAutospacing="1"/>
      <w:ind w:firstLine="90"/>
      <w:jc w:val="left"/>
      <w:textAlignment w:val="top"/>
    </w:pPr>
    <w:rPr>
      <w:rFonts w:ascii="宋体" w:hAnsi="宋体" w:cs="宋体"/>
      <w:b/>
      <w:bCs/>
      <w:color w:val="FFFFFF"/>
      <w:kern w:val="0"/>
      <w:szCs w:val="21"/>
    </w:rPr>
  </w:style>
  <w:style w:type="paragraph" w:customStyle="1" w:styleId="94">
    <w:name w:val="right-title-more"/>
    <w:basedOn w:val="1"/>
    <w:qFormat/>
    <w:uiPriority w:val="99"/>
    <w:pPr>
      <w:widowControl/>
      <w:spacing w:before="100" w:beforeAutospacing="1" w:after="100" w:afterAutospacing="1"/>
      <w:jc w:val="left"/>
      <w:textAlignment w:val="top"/>
    </w:pPr>
    <w:rPr>
      <w:rFonts w:ascii="宋体" w:hAnsi="宋体" w:cs="宋体"/>
      <w:kern w:val="0"/>
      <w:sz w:val="24"/>
      <w:szCs w:val="24"/>
    </w:rPr>
  </w:style>
  <w:style w:type="paragraph" w:customStyle="1" w:styleId="95">
    <w:name w:val="bszx-title"/>
    <w:basedOn w:val="1"/>
    <w:qFormat/>
    <w:uiPriority w:val="99"/>
    <w:pPr>
      <w:widowControl/>
      <w:spacing w:before="100" w:beforeAutospacing="1" w:after="100" w:afterAutospacing="1"/>
      <w:ind w:firstLine="90"/>
      <w:jc w:val="left"/>
      <w:textAlignment w:val="top"/>
    </w:pPr>
    <w:rPr>
      <w:rFonts w:ascii="宋体" w:hAnsi="宋体" w:cs="宋体"/>
      <w:b/>
      <w:bCs/>
      <w:color w:val="FFFFFF"/>
      <w:kern w:val="0"/>
      <w:szCs w:val="21"/>
    </w:rPr>
  </w:style>
  <w:style w:type="paragraph" w:customStyle="1" w:styleId="96">
    <w:name w:val="bottom-line"/>
    <w:basedOn w:val="1"/>
    <w:qFormat/>
    <w:uiPriority w:val="99"/>
    <w:pPr>
      <w:widowControl/>
      <w:pBdr>
        <w:bottom w:val="single" w:color="EFEFEF" w:sz="6" w:space="0"/>
      </w:pBdr>
      <w:spacing w:before="100" w:beforeAutospacing="1" w:after="100" w:afterAutospacing="1" w:line="240" w:lineRule="atLeast"/>
      <w:jc w:val="left"/>
    </w:pPr>
    <w:rPr>
      <w:rFonts w:ascii="宋体" w:hAnsi="宋体" w:cs="宋体"/>
      <w:kern w:val="0"/>
      <w:sz w:val="24"/>
      <w:szCs w:val="24"/>
    </w:rPr>
  </w:style>
  <w:style w:type="paragraph" w:customStyle="1" w:styleId="97">
    <w:name w:val="normal-gonggao"/>
    <w:basedOn w:val="1"/>
    <w:qFormat/>
    <w:uiPriority w:val="99"/>
    <w:pPr>
      <w:widowControl/>
      <w:spacing w:before="100" w:beforeAutospacing="1" w:after="100" w:afterAutospacing="1"/>
      <w:jc w:val="center"/>
    </w:pPr>
    <w:rPr>
      <w:rFonts w:ascii="宋体" w:hAnsi="宋体" w:cs="宋体"/>
      <w:color w:val="444444"/>
      <w:kern w:val="0"/>
      <w:sz w:val="18"/>
      <w:szCs w:val="18"/>
    </w:rPr>
  </w:style>
  <w:style w:type="paragraph" w:customStyle="1" w:styleId="98">
    <w:name w:val="active-gonggao"/>
    <w:basedOn w:val="1"/>
    <w:qFormat/>
    <w:uiPriority w:val="99"/>
    <w:pPr>
      <w:widowControl/>
      <w:spacing w:before="100" w:beforeAutospacing="1" w:after="100" w:afterAutospacing="1"/>
      <w:jc w:val="center"/>
    </w:pPr>
    <w:rPr>
      <w:rFonts w:ascii="宋体" w:hAnsi="宋体" w:cs="宋体"/>
      <w:color w:val="FFFFFF"/>
      <w:kern w:val="0"/>
      <w:sz w:val="18"/>
      <w:szCs w:val="18"/>
    </w:rPr>
  </w:style>
  <w:style w:type="paragraph" w:customStyle="1" w:styleId="99">
    <w:name w:val="index_special_1"/>
    <w:basedOn w:val="1"/>
    <w:qFormat/>
    <w:uiPriority w:val="99"/>
    <w:pPr>
      <w:widowControl/>
      <w:spacing w:before="100" w:beforeAutospacing="1" w:after="100" w:afterAutospacing="1"/>
      <w:jc w:val="center"/>
    </w:pPr>
    <w:rPr>
      <w:rFonts w:ascii="宋体" w:hAnsi="宋体" w:cs="宋体"/>
      <w:b/>
      <w:bCs/>
      <w:color w:val="0064BD"/>
      <w:kern w:val="0"/>
      <w:sz w:val="18"/>
      <w:szCs w:val="18"/>
    </w:rPr>
  </w:style>
  <w:style w:type="paragraph" w:customStyle="1" w:styleId="100">
    <w:name w:val="index_special_0"/>
    <w:basedOn w:val="1"/>
    <w:qFormat/>
    <w:uiPriority w:val="99"/>
    <w:pPr>
      <w:widowControl/>
      <w:spacing w:before="100" w:beforeAutospacing="1" w:after="100" w:afterAutospacing="1"/>
      <w:jc w:val="center"/>
    </w:pPr>
    <w:rPr>
      <w:rFonts w:ascii="宋体" w:hAnsi="宋体" w:cs="宋体"/>
      <w:b/>
      <w:bCs/>
      <w:color w:val="4F4F4F"/>
      <w:kern w:val="0"/>
      <w:sz w:val="18"/>
      <w:szCs w:val="18"/>
    </w:rPr>
  </w:style>
  <w:style w:type="paragraph" w:customStyle="1" w:styleId="101">
    <w:name w:val="mtdiv"/>
    <w:basedOn w:val="1"/>
    <w:qFormat/>
    <w:uiPriority w:val="99"/>
    <w:pPr>
      <w:widowControl/>
      <w:pBdr>
        <w:top w:val="single" w:color="CCCCCC" w:sz="6" w:space="3"/>
        <w:left w:val="single" w:color="CCCCCC" w:sz="6" w:space="3"/>
        <w:bottom w:val="single" w:color="CCCCCC" w:sz="6" w:space="3"/>
        <w:right w:val="single" w:color="CCCCCC" w:sz="6" w:space="3"/>
      </w:pBdr>
      <w:shd w:val="clear" w:color="auto" w:fill="FBFBFB"/>
      <w:spacing w:before="100" w:beforeAutospacing="1" w:after="100" w:afterAutospacing="1"/>
      <w:jc w:val="left"/>
    </w:pPr>
    <w:rPr>
      <w:rFonts w:ascii="宋体" w:hAnsi="宋体" w:cs="宋体"/>
      <w:kern w:val="0"/>
      <w:sz w:val="24"/>
      <w:szCs w:val="24"/>
    </w:rPr>
  </w:style>
  <w:style w:type="paragraph" w:customStyle="1" w:styleId="102">
    <w:name w:val="tab_tr_infopub"/>
    <w:basedOn w:val="1"/>
    <w:qFormat/>
    <w:uiPriority w:val="99"/>
    <w:pPr>
      <w:widowControl/>
      <w:pBdr>
        <w:top w:val="single" w:color="8CBDED" w:sz="6" w:space="0"/>
        <w:left w:val="single" w:color="8CBDED" w:sz="6" w:space="0"/>
        <w:bottom w:val="single" w:color="8CBDED" w:sz="6" w:space="0"/>
        <w:right w:val="single" w:color="8CBDED" w:sz="6" w:space="0"/>
      </w:pBdr>
      <w:spacing w:before="100" w:beforeAutospacing="1" w:after="100" w:afterAutospacing="1"/>
      <w:jc w:val="left"/>
    </w:pPr>
    <w:rPr>
      <w:rFonts w:ascii="宋体" w:hAnsi="宋体" w:cs="宋体"/>
      <w:kern w:val="0"/>
      <w:sz w:val="24"/>
      <w:szCs w:val="24"/>
    </w:rPr>
  </w:style>
  <w:style w:type="paragraph" w:customStyle="1" w:styleId="103">
    <w:name w:val="btn-select"/>
    <w:basedOn w:val="1"/>
    <w:qFormat/>
    <w:uiPriority w:val="99"/>
    <w:pPr>
      <w:widowControl/>
      <w:pBdr>
        <w:top w:val="single" w:color="B0A296" w:sz="2" w:space="0"/>
        <w:left w:val="single" w:color="B0A296" w:sz="2" w:space="0"/>
        <w:bottom w:val="single" w:color="B0A296" w:sz="2" w:space="0"/>
        <w:right w:val="single" w:color="B0A296" w:sz="2" w:space="0"/>
      </w:pBdr>
      <w:shd w:val="clear" w:color="auto" w:fill="FEFEFE"/>
      <w:spacing w:before="100" w:beforeAutospacing="1" w:after="100" w:afterAutospacing="1" w:line="300" w:lineRule="atLeast"/>
      <w:jc w:val="left"/>
    </w:pPr>
    <w:rPr>
      <w:rFonts w:ascii="微软雅黑" w:hAnsi="微软雅黑" w:eastAsia="微软雅黑" w:cs="宋体"/>
      <w:color w:val="666666"/>
      <w:kern w:val="0"/>
      <w:szCs w:val="21"/>
    </w:rPr>
  </w:style>
  <w:style w:type="paragraph" w:customStyle="1" w:styleId="104">
    <w:name w:val="cur-select"/>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05">
    <w:name w:val="bds_fl5"/>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06">
    <w:name w:val="bds_buzz"/>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07">
    <w:name w:val="bds_zx"/>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08">
    <w:name w:val="bds_more"/>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09">
    <w:name w:val="cur-select1"/>
    <w:basedOn w:val="1"/>
    <w:qFormat/>
    <w:uiPriority w:val="99"/>
    <w:pPr>
      <w:widowControl/>
      <w:shd w:val="clear" w:color="auto" w:fill="FEFEFE"/>
      <w:spacing w:before="100" w:beforeAutospacing="1" w:after="100" w:afterAutospacing="1" w:line="450" w:lineRule="atLeast"/>
      <w:ind w:firstLine="150"/>
      <w:jc w:val="left"/>
    </w:pPr>
    <w:rPr>
      <w:rFonts w:ascii="宋体" w:hAnsi="宋体" w:cs="宋体"/>
      <w:kern w:val="0"/>
      <w:sz w:val="24"/>
      <w:szCs w:val="24"/>
    </w:rPr>
  </w:style>
  <w:style w:type="paragraph" w:customStyle="1" w:styleId="110">
    <w:name w:val="cur-select2"/>
    <w:basedOn w:val="1"/>
    <w:qFormat/>
    <w:uiPriority w:val="99"/>
    <w:pPr>
      <w:widowControl/>
      <w:shd w:val="clear" w:color="auto" w:fill="FEFEFE"/>
      <w:spacing w:before="100" w:beforeAutospacing="1" w:after="100" w:afterAutospacing="1" w:line="450" w:lineRule="atLeast"/>
      <w:ind w:firstLine="150"/>
      <w:jc w:val="left"/>
    </w:pPr>
    <w:rPr>
      <w:rFonts w:ascii="宋体" w:hAnsi="宋体" w:cs="宋体"/>
      <w:kern w:val="0"/>
      <w:sz w:val="24"/>
      <w:szCs w:val="24"/>
    </w:rPr>
  </w:style>
  <w:style w:type="paragraph" w:customStyle="1" w:styleId="111">
    <w:name w:val="bds_fl51"/>
    <w:basedOn w:val="1"/>
    <w:qFormat/>
    <w:uiPriority w:val="99"/>
    <w:pPr>
      <w:widowControl/>
      <w:pBdr>
        <w:top w:val="single" w:color="F2F1F1" w:sz="6" w:space="0"/>
      </w:pBdr>
      <w:shd w:val="clear" w:color="auto" w:fill="F8F8F8"/>
      <w:jc w:val="left"/>
    </w:pPr>
    <w:rPr>
      <w:rFonts w:ascii="宋体" w:hAnsi="宋体" w:cs="宋体"/>
      <w:vanish/>
      <w:kern w:val="0"/>
      <w:sz w:val="18"/>
      <w:szCs w:val="18"/>
    </w:rPr>
  </w:style>
  <w:style w:type="paragraph" w:customStyle="1" w:styleId="112">
    <w:name w:val="bds_buzz1"/>
    <w:basedOn w:val="1"/>
    <w:qFormat/>
    <w:uiPriority w:val="99"/>
    <w:pPr>
      <w:widowControl/>
      <w:pBdr>
        <w:top w:val="single" w:color="F2F1F1" w:sz="6" w:space="0"/>
      </w:pBdr>
      <w:shd w:val="clear" w:color="auto" w:fill="F8F8F8"/>
      <w:jc w:val="left"/>
    </w:pPr>
    <w:rPr>
      <w:rFonts w:ascii="宋体" w:hAnsi="宋体" w:cs="宋体"/>
      <w:vanish/>
      <w:kern w:val="0"/>
      <w:sz w:val="18"/>
      <w:szCs w:val="18"/>
    </w:rPr>
  </w:style>
  <w:style w:type="paragraph" w:customStyle="1" w:styleId="113">
    <w:name w:val="bds_zx1"/>
    <w:basedOn w:val="1"/>
    <w:qFormat/>
    <w:uiPriority w:val="99"/>
    <w:pPr>
      <w:widowControl/>
      <w:pBdr>
        <w:top w:val="single" w:color="F2F1F1" w:sz="6" w:space="0"/>
      </w:pBdr>
      <w:shd w:val="clear" w:color="auto" w:fill="F8F8F8"/>
      <w:jc w:val="left"/>
    </w:pPr>
    <w:rPr>
      <w:rFonts w:ascii="宋体" w:hAnsi="宋体" w:cs="宋体"/>
      <w:vanish/>
      <w:kern w:val="0"/>
      <w:sz w:val="18"/>
      <w:szCs w:val="18"/>
    </w:rPr>
  </w:style>
  <w:style w:type="paragraph" w:customStyle="1" w:styleId="114">
    <w:name w:val="列出段落1"/>
    <w:basedOn w:val="1"/>
    <w:qFormat/>
    <w:uiPriority w:val="34"/>
    <w:pPr>
      <w:ind w:firstLine="420" w:firstLineChars="200"/>
    </w:pPr>
  </w:style>
  <w:style w:type="paragraph" w:customStyle="1" w:styleId="115">
    <w:name w:val="列出段落2"/>
    <w:basedOn w:val="1"/>
    <w:qFormat/>
    <w:uiPriority w:val="34"/>
    <w:pPr>
      <w:ind w:firstLine="420" w:firstLineChars="200"/>
    </w:pPr>
  </w:style>
  <w:style w:type="character" w:customStyle="1" w:styleId="116">
    <w:name w:val="Heading 5 Char"/>
    <w:link w:val="3"/>
    <w:qFormat/>
    <w:locked/>
    <w:uiPriority w:val="99"/>
    <w:rPr>
      <w:rFonts w:ascii="宋体" w:hAnsi="宋体" w:eastAsia="宋体" w:cs="宋体"/>
      <w:b/>
      <w:bCs/>
      <w:kern w:val="0"/>
      <w:sz w:val="20"/>
      <w:szCs w:val="20"/>
    </w:rPr>
  </w:style>
  <w:style w:type="character" w:customStyle="1" w:styleId="117">
    <w:name w:val="Heading 6 Char"/>
    <w:link w:val="4"/>
    <w:qFormat/>
    <w:locked/>
    <w:uiPriority w:val="99"/>
    <w:rPr>
      <w:rFonts w:ascii="宋体" w:hAnsi="宋体" w:eastAsia="宋体" w:cs="宋体"/>
      <w:b/>
      <w:bCs/>
      <w:kern w:val="0"/>
      <w:sz w:val="15"/>
      <w:szCs w:val="15"/>
    </w:rPr>
  </w:style>
  <w:style w:type="character" w:customStyle="1" w:styleId="118">
    <w:name w:val="Header Char"/>
    <w:link w:val="10"/>
    <w:qFormat/>
    <w:locked/>
    <w:uiPriority w:val="99"/>
    <w:rPr>
      <w:rFonts w:cs="Times New Roman"/>
      <w:sz w:val="18"/>
      <w:szCs w:val="18"/>
    </w:rPr>
  </w:style>
  <w:style w:type="character" w:customStyle="1" w:styleId="119">
    <w:name w:val="Footer Char"/>
    <w:link w:val="9"/>
    <w:qFormat/>
    <w:locked/>
    <w:uiPriority w:val="99"/>
    <w:rPr>
      <w:rFonts w:cs="Times New Roman"/>
      <w:sz w:val="18"/>
      <w:szCs w:val="18"/>
    </w:rPr>
  </w:style>
  <w:style w:type="character" w:customStyle="1" w:styleId="120">
    <w:name w:val="已访问的超链接1"/>
    <w:semiHidden/>
    <w:qFormat/>
    <w:uiPriority w:val="99"/>
    <w:rPr>
      <w:rFonts w:cs="Times New Roman"/>
      <w:color w:val="800080"/>
      <w:u w:val="single"/>
    </w:rPr>
  </w:style>
  <w:style w:type="character" w:customStyle="1" w:styleId="121">
    <w:name w:val="bds_more1"/>
    <w:qFormat/>
    <w:uiPriority w:val="99"/>
    <w:rPr>
      <w:rFonts w:ascii="宋体" w:hAnsi="宋体" w:eastAsia="宋体" w:cs="Times New Roman"/>
    </w:rPr>
  </w:style>
  <w:style w:type="character" w:customStyle="1" w:styleId="122">
    <w:name w:val="bds_more2"/>
    <w:qFormat/>
    <w:uiPriority w:val="99"/>
    <w:rPr>
      <w:rFonts w:ascii="宋体" w:hAnsi="宋体" w:eastAsia="宋体" w:cs="Times New Roman"/>
    </w:rPr>
  </w:style>
  <w:style w:type="character" w:customStyle="1" w:styleId="123">
    <w:name w:val="bds_more3"/>
    <w:qFormat/>
    <w:uiPriority w:val="99"/>
    <w:rPr>
      <w:rFonts w:ascii="宋体" w:hAnsi="宋体" w:eastAsia="宋体" w:cs="Times New Roman"/>
    </w:rPr>
  </w:style>
  <w:style w:type="character" w:customStyle="1" w:styleId="124">
    <w:name w:val="Comment Text Char"/>
    <w:basedOn w:val="15"/>
    <w:link w:val="5"/>
    <w:qFormat/>
    <w:locked/>
    <w:uiPriority w:val="99"/>
    <w:rPr>
      <w:rFonts w:ascii="Calibri" w:hAnsi="Calibri" w:eastAsia="宋体" w:cs="Calibri"/>
      <w:kern w:val="2"/>
      <w:sz w:val="21"/>
      <w:szCs w:val="21"/>
      <w:lang w:val="en-US" w:eastAsia="zh-CN" w:bidi="ar-SA"/>
    </w:rPr>
  </w:style>
  <w:style w:type="character" w:customStyle="1" w:styleId="125">
    <w:name w:val="Comment Subject Char"/>
    <w:basedOn w:val="124"/>
    <w:link w:val="12"/>
    <w:semiHidden/>
    <w:qFormat/>
    <w:uiPriority w:val="0"/>
    <w:rPr>
      <w:rFonts w:ascii="Calibri" w:hAnsi="Calibri" w:eastAsia="宋体" w:cs="Times New Roman"/>
      <w:b/>
      <w:bCs/>
      <w:kern w:val="2"/>
      <w:sz w:val="21"/>
      <w:szCs w:val="22"/>
      <w:lang w:val="en-US" w:eastAsia="zh-CN" w:bidi="ar-SA"/>
    </w:rPr>
  </w:style>
  <w:style w:type="character" w:customStyle="1" w:styleId="126">
    <w:name w:val="Date Char"/>
    <w:basedOn w:val="15"/>
    <w:link w:val="7"/>
    <w:semiHidden/>
    <w:qFormat/>
    <w:uiPriority w:val="0"/>
    <w:rPr>
      <w:rFonts w:cs="Times New Roman"/>
      <w:kern w:val="2"/>
      <w:sz w:val="21"/>
      <w:szCs w:val="22"/>
    </w:rPr>
  </w:style>
  <w:style w:type="character" w:customStyle="1" w:styleId="127">
    <w:name w:val="纯文本 Char"/>
    <w:basedOn w:val="15"/>
    <w:semiHidden/>
    <w:uiPriority w:val="0"/>
    <w:rPr>
      <w:rFonts w:ascii="宋体" w:hAnsi="Courier New" w:cs="Courier New"/>
      <w:kern w:val="2"/>
      <w:sz w:val="21"/>
      <w:szCs w:val="21"/>
    </w:rPr>
  </w:style>
  <w:style w:type="character" w:customStyle="1" w:styleId="128">
    <w:name w:val="Plain Text Char"/>
    <w:link w:val="6"/>
    <w:qFormat/>
    <w:locked/>
    <w:uiPriority w:val="0"/>
    <w:rPr>
      <w:rFonts w:ascii="宋体" w:hAnsi="Courier New" w:cs="Times New Roman"/>
      <w:lang w:val="zh-CN" w:eastAsia="zh-CN"/>
    </w:rPr>
  </w:style>
  <w:style w:type="character" w:customStyle="1" w:styleId="129">
    <w:name w:val="Heading 1 Char"/>
    <w:basedOn w:val="15"/>
    <w:link w:val="2"/>
    <w:qFormat/>
    <w:uiPriority w:val="0"/>
    <w:rPr>
      <w:rFonts w:cs="Times New Roman"/>
      <w:b/>
      <w:bCs/>
      <w:kern w:val="44"/>
      <w:sz w:val="44"/>
      <w:szCs w:val="44"/>
    </w:rPr>
  </w:style>
  <w:style w:type="paragraph" w:customStyle="1" w:styleId="130">
    <w:name w:val="Revision"/>
    <w:hidden/>
    <w:semiHidden/>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515</Words>
  <Characters>1078</Characters>
  <Lines>120</Lines>
  <Paragraphs>107</Paragraphs>
  <TotalTime>10</TotalTime>
  <ScaleCrop>false</ScaleCrop>
  <LinksUpToDate>false</LinksUpToDate>
  <CharactersWithSpaces>1123</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2026-06-24T10:59:00Z</dcterms:created>
  <dc:creator>XXDA</dc:creator>
  <cp:lastModifiedBy>zw</cp:lastModifiedBy>
  <cp:lastPrinted>2023-05-05T08:33:00Z</cp:lastPrinted>
  <dcterms:modified xsi:type="dcterms:W3CDTF">2026-07-06T03:45:26Z</dcterms:modified>
  <dc:title>2017年北京市玩具产品质量监督抽查方案（强制性标准转推荐性标准）</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C61EFF21C3FB40DCBC653E4582C4D5BB_13</vt:lpwstr>
  </property>
  <property fmtid="{D5CDD505-2E9C-101B-9397-08002B2CF9AE}" pid="4" name="KSOTemplateDocerSaveRecord">
    <vt:lpwstr>eyJoZGlkIjoiYjU4YTEyOWI0YTA1NzExMDUyM2E4NzRjZjM1MmQ2OWEiLCJ1c2VySWQiOiIxMTI2NTcyODI0In0=</vt:lpwstr>
  </property>
</Properties>
</file>